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14:paraId="778F3EF4" w14:textId="77777777" w:rsidR="0060280E" w:rsidRPr="00843C0F" w:rsidRDefault="00000000">
            <w:pPr>
              <w:spacing w:after="0" w:line="240" w:lineRule="auto"/>
              <w:jc w:val="center"/>
              <w:rPr>
                <w:b/>
                <w:bCs/>
                <w:sz w:val="18"/>
                <w:szCs w:val="18"/>
              </w:rPr>
            </w:pPr>
            <w:r w:rsidRPr="00843C0F">
              <w:rPr>
                <w:b/>
                <w:bCs/>
                <w:sz w:val="18"/>
                <w:szCs w:val="18"/>
              </w:rPr>
              <w:t>SOUTH ASIA</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rPr>
                <w:b/>
                <w:bCs/>
                <w:sz w:val="18"/>
                <w:szCs w:val="18"/>
              </w:rPr>
            </w:pPr>
            <w:r>
              <w:rPr>
                <w:b/>
                <w:bCs/>
                <w:sz w:val="18"/>
                <w:szCs w:val="18"/>
              </w:rPr>
              <w:t xml:space="preserve">INDIA</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rPr>
                <w:b/>
                <w:bCs/>
                <w:sz w:val="18"/>
                <w:szCs w:val="18"/>
              </w:rPr>
            </w:pPr>
            <w:r>
              <w:rPr>
                <w:b/>
                <w:bCs/>
                <w:sz w:val="18"/>
                <w:szCs w:val="18"/>
              </w:rPr>
              <w:t xml:space="preserve">VDR/SA/IN/SEP-2026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India Accelerates AI-Ready Cloud and Data Centre Build-Out</w:t>
      </w:r>
    </w:p>
    <w:p>
      <w:pPr>
        <w:pStyle w:val="ListParagraph"/>
        <w:spacing w:after="160"/>
        <w:jc w:val="both"/>
        <w:rPr>
          <w:sz w:val="18"/>
          <w:szCs w:val="18"/>
        </w:rPr>
      </w:pPr>
      <w:r>
        <w:rPr>
          <w:sz w:val="18"/>
          <w:szCs w:val="18"/>
        </w:rPr>
        <w:t xml:space="preserve">Microsoft formally launched its fourth India cloud region (India South Central) in Hyderabad on 21 September 2026, and TCS subsidiary HyperVault secured 264 acres in Hyderabad for an AI data centre campus of up to 1 GW. India is fast becoming a regional hub for hyperscale, AI and enterprise cloud infrastructure.</w:t>
      </w:r>
    </w:p>
    <w:p>
      <w:pPr>
        <w:pStyle w:val="ListParagraph"/>
        <w:numPr>
          <w:ilvl w:val="0"/>
          <w:numId w:val="6"/>
        </w:numPr>
        <w:spacing w:after="60"/>
        <w:rPr>
          <w:b/>
          <w:bCs/>
          <w:sz w:val="18"/>
          <w:szCs w:val="18"/>
        </w:rPr>
      </w:pPr>
      <w:r>
        <w:rPr>
          <w:b/>
          <w:bCs/>
          <w:sz w:val="18"/>
          <w:szCs w:val="18"/>
        </w:rPr>
        <w:t xml:space="preserve">TRAI Tightens Rules on Spam, Robocalls and AI-Generated Voice Calls</w:t>
      </w:r>
    </w:p>
    <w:p>
      <w:pPr>
        <w:pStyle w:val="ListParagraph"/>
        <w:spacing w:after="160"/>
        <w:jc w:val="both"/>
        <w:rPr>
          <w:sz w:val="18"/>
          <w:szCs w:val="18"/>
        </w:rPr>
      </w:pPr>
      <w:r>
        <w:rPr>
          <w:sz w:val="18"/>
          <w:szCs w:val="18"/>
        </w:rPr>
        <w:t xml:space="preserve">On 18 September 2026 TRAI notified the Telecom Commercial Communications Customer Preference (Third Amendment) Regulations, 2026. The rules require AI/ML-based spam detection by access providers and stricter controls on Application-to-Person (A2P), automated, robo and pre-recorded/artificial-voice calls. They directly affect enterprise outbound voice traffic.</w:t>
      </w:r>
    </w:p>
    <w:p>
      <w:pPr>
        <w:pStyle w:val="ListParagraph"/>
        <w:numPr>
          <w:ilvl w:val="0"/>
          <w:numId w:val="6"/>
        </w:numPr>
        <w:spacing w:after="60"/>
        <w:rPr>
          <w:b/>
          <w:bCs/>
          <w:sz w:val="18"/>
          <w:szCs w:val="18"/>
        </w:rPr>
      </w:pPr>
      <w:r>
        <w:rPr>
          <w:b/>
          <w:bCs/>
          <w:sz w:val="18"/>
          <w:szCs w:val="18"/>
        </w:rPr>
        <w:t xml:space="preserve">Satcom Spectrum Framework Cleared and New Voice-Only Tariff Obligations</w:t>
      </w:r>
    </w:p>
    <w:p>
      <w:pPr>
        <w:pStyle w:val="ListParagraph"/>
        <w:spacing w:after="160"/>
        <w:jc w:val="both"/>
        <w:rPr>
          <w:sz w:val="18"/>
          <w:szCs w:val="18"/>
        </w:rPr>
      </w:pPr>
      <w:r>
        <w:rPr>
          <w:sz w:val="18"/>
          <w:szCs w:val="18"/>
        </w:rPr>
        <w:t xml:space="preserve">The Digital Communications Commission (DoT) approved most TRAI recommendations on satellite spectrum (5% SUC, administrative assignment), and TRAI notified the Telecom Consumer Protection (Thirteenth Amendment) Regulations, 2026, mandating shorter-validity voice-and-SMS-only vouchers.</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Microsoft formally launched its fourth India cloud region, India South Central (Hyderabad), on 21 September 2026. The launch is part of its USD 20.5 billion India commitment. The region supports advanced AI workloads with zero-water cooling and joins the Pune, Chennai and Mumbai regions. Early customers include Adani Group, Bajaj Finserv and HDFC Bank.</w:t>
            </w:r>
          </w:p>
          <w:p>
            <w:pPr>
              <w:pStyle w:val="ListParagraph"/>
              <w:numPr>
                <w:ilvl w:val="0"/>
                <w:numId w:val="4"/>
              </w:numPr>
              <w:spacing w:after="0" w:line="240" w:lineRule="auto"/>
              <w:ind w:left="216" w:hanging="216"/>
              <w:rPr>
                <w:b/>
                <w:bCs/>
                <w:sz w:val="18"/>
                <w:szCs w:val="18"/>
              </w:rPr>
            </w:pPr>
            <w:r>
              <w:rPr>
                <w:b/>
                <w:bCs/>
                <w:sz w:val="18"/>
                <w:szCs w:val="18"/>
              </w:rPr>
              <w:t xml:space="preserve">HyperVault (a TCS subsidiary) secured 264 acres in Hyderabad, Telangana, for a large-scale AI data centre campus of up to 1 GW. The campus is built for high-density GPU deployments for hyperscalers and frontier AI companies, and will use green energy and a water-neutral design.</w:t>
            </w:r>
          </w:p>
          <w:p>
            <w:pPr>
              <w:pStyle w:val="ListParagraph"/>
              <w:numPr>
                <w:ilvl w:val="0"/>
                <w:numId w:val="4"/>
              </w:numPr>
              <w:spacing w:after="0" w:line="240" w:lineRule="auto"/>
              <w:ind w:left="216" w:hanging="216"/>
              <w:rPr>
                <w:b/>
                <w:bCs/>
                <w:sz w:val="18"/>
                <w:szCs w:val="18"/>
              </w:rPr>
            </w:pPr>
            <w:r>
              <w:rPr>
                <w:b/>
                <w:bCs/>
                <w:sz w:val="18"/>
                <w:szCs w:val="18"/>
              </w:rPr>
              <w:t xml:space="preserve">Industry reports for H1 2026 show that India’s top seven data centre markets added about 178 MW, taking operational capacity to about 1.8 GW. Hyperscale and AI pre-commitments drove about 82% of absorption, which strengthens India’s position as a regional cloud and interconnection hub.</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b/>
                <w:bCs/>
                <w:sz w:val="18"/>
                <w:szCs w:val="18"/>
              </w:rPr>
              <w:sym w:font="Wingdings" w:char="F0FE"/>
            </w:r>
            <w:r>
              <w:rPr>
                <w:b/>
                <w:bCs/>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HyperVault campus to be built in phases, in line with demand</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https://www.business-standard.com/industry/news/microsoft-launches-4th-india-cloud-region-in-hyderabad-to-boost-ai-capacity-126092100431_1.html</w:t>
              </w:r>
            </w:hyperlink>
          </w:p>
          <w:p>
            <w:pPr>
              <w:spacing w:after="0" w:line="240" w:lineRule="auto"/>
              <w:rPr>
                <w:sz w:val="18"/>
                <w:szCs w:val="18"/>
              </w:rPr>
            </w:pPr>
            <w:hyperlink r:id="rId102" w:history="1">
              <w:r>
                <w:rPr>
                  <w:rStyle w:val="Hyperlink"/>
                  <w:color w:val="0563C1"/>
                  <w:u w:val="single"/>
                  <w:sz w:val="18"/>
                  <w:szCs w:val="18"/>
                </w:rPr>
                <w:t xml:space="preserve">https://www.tcs.com/who-we-are/newsroom/press-release/tcs-hypervault-establish-large-scale-ai-data-center-campus-telangana</w:t>
              </w:r>
            </w:hyperlink>
          </w:p>
          <w:p>
            <w:pPr>
              <w:spacing w:after="0" w:line="240" w:lineRule="auto"/>
              <w:rPr>
                <w:sz w:val="18"/>
                <w:szCs w:val="18"/>
              </w:rPr>
            </w:pPr>
            <w:hyperlink r:id="rId103" w:history="1">
              <w:r>
                <w:rPr>
                  <w:rStyle w:val="Hyperlink"/>
                  <w:color w:val="0563C1"/>
                  <w:u w:val="single"/>
                  <w:sz w:val="18"/>
                  <w:szCs w:val="18"/>
                </w:rPr>
                <w:t xml:space="preserve">https://www.cushmanwakefield.com/en/india/news/2026/09/india-data-centre-h1-2026-update</w:t>
              </w:r>
            </w:hyperlink>
          </w:p>
          <w:p>
            <w:pPr>
              <w:spacing w:after="0" w:line="240" w:lineRule="auto"/>
              <w:rPr>
                <w:sz w:val="18"/>
                <w:szCs w:val="18"/>
              </w:rPr>
            </w:pPr>
            <w:hyperlink r:id="rId104" w:history="1">
              <w:r>
                <w:rPr>
                  <w:rStyle w:val="Hyperlink"/>
                  <w:color w:val="0563C1"/>
                  <w:u w:val="single"/>
                  <w:sz w:val="18"/>
                  <w:szCs w:val="18"/>
                </w:rPr>
                <w:t xml:space="preserve">https://www.datacenterdynamics.com/en/regions/asia-pacific/india/</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p>
            <w:pPr>
              <w:spacing w:after="0" w:line="240" w:lineRule="auto"/>
              <w:rPr>
                <w:sz w:val="18"/>
                <w:szCs w:val="18"/>
              </w:rPr>
            </w:pPr>
            <w:r>
              <w:rPr>
                <w:sz w:val="18"/>
                <w:szCs w:val="18"/>
              </w:rPr>
              <w:t xml:space="preserve">For reference, India follows a Calling Party Pays (CPP) regime. Domestic wireless and wireline call termination is on a Bill and Keep (zero IUC) basis. International incoming termination remains under the TRAI Interconnection Usage Charges framework. No change was notified in September 2026.</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p>
            <w:pPr>
              <w:spacing w:after="0" w:line="240" w:lineRule="auto"/>
              <w:rPr>
                <w:sz w:val="18"/>
                <w:szCs w:val="18"/>
              </w:rPr>
            </w:pPr>
            <w:r>
              <w:rPr>
                <w:sz w:val="18"/>
                <w:szCs w:val="18"/>
              </w:rPr>
              <w:t xml:space="preserve">For reference, the number types under the DoT National Numbering Plan are:</w:t>
            </w:r>
          </w:p>
          <w:p>
            <w:pPr>
              <w:pStyle w:val="ListParagraph"/>
              <w:numPr>
                <w:ilvl w:val="0"/>
                <w:numId w:val="4"/>
              </w:numPr>
              <w:spacing w:after="0" w:line="240" w:lineRule="auto"/>
              <w:ind w:left="216" w:hanging="216"/>
              <w:rPr>
                <w:sz w:val="18"/>
                <w:szCs w:val="18"/>
              </w:rPr>
            </w:pPr>
            <w:r>
              <w:rPr>
                <w:sz w:val="18"/>
                <w:szCs w:val="18"/>
              </w:rPr>
              <w:t xml:space="preserve">Geographic fixed-line (local DID) numbers with SDCA/STD codes</w:t>
            </w:r>
          </w:p>
          <w:p>
            <w:pPr>
              <w:pStyle w:val="ListParagraph"/>
              <w:numPr>
                <w:ilvl w:val="0"/>
                <w:numId w:val="4"/>
              </w:numPr>
              <w:spacing w:after="0" w:line="240" w:lineRule="auto"/>
              <w:ind w:left="216" w:hanging="216"/>
              <w:rPr>
                <w:sz w:val="18"/>
                <w:szCs w:val="18"/>
              </w:rPr>
            </w:pPr>
            <w:r>
              <w:rPr>
                <w:sz w:val="18"/>
                <w:szCs w:val="18"/>
              </w:rPr>
              <w:t xml:space="preserve">10-digit mobile numbers (starting 6, 7, 8 or 9)</w:t>
            </w:r>
          </w:p>
          <w:p>
            <w:pPr>
              <w:pStyle w:val="ListParagraph"/>
              <w:numPr>
                <w:ilvl w:val="0"/>
                <w:numId w:val="4"/>
              </w:numPr>
              <w:spacing w:after="0" w:line="240" w:lineRule="auto"/>
              <w:ind w:left="216" w:hanging="216"/>
              <w:rPr>
                <w:sz w:val="18"/>
                <w:szCs w:val="18"/>
              </w:rPr>
            </w:pPr>
            <w:r>
              <w:rPr>
                <w:sz w:val="18"/>
                <w:szCs w:val="18"/>
              </w:rPr>
              <w:t xml:space="preserve">Non-geographic numbers</w:t>
            </w:r>
          </w:p>
          <w:p>
            <w:pPr>
              <w:pStyle w:val="ListParagraph"/>
              <w:numPr>
                <w:ilvl w:val="0"/>
                <w:numId w:val="4"/>
              </w:numPr>
              <w:spacing w:after="0" w:line="240" w:lineRule="auto"/>
              <w:ind w:left="216" w:hanging="216"/>
              <w:rPr>
                <w:sz w:val="18"/>
                <w:szCs w:val="18"/>
              </w:rPr>
            </w:pPr>
            <w:r>
              <w:rPr>
                <w:sz w:val="18"/>
                <w:szCs w:val="18"/>
              </w:rPr>
              <w:t xml:space="preserve">Domestic toll-free numbers (1800) and International Toll-Free Service (ITFS, 000800)</w:t>
            </w:r>
          </w:p>
          <w:p>
            <w:pPr>
              <w:pStyle w:val="ListParagraph"/>
              <w:numPr>
                <w:ilvl w:val="0"/>
                <w:numId w:val="4"/>
              </w:numPr>
              <w:spacing w:after="0" w:line="240" w:lineRule="auto"/>
              <w:ind w:left="216" w:hanging="216"/>
              <w:rPr>
                <w:sz w:val="18"/>
                <w:szCs w:val="18"/>
              </w:rPr>
            </w:pPr>
            <w:r>
              <w:rPr>
                <w:sz w:val="18"/>
                <w:szCs w:val="18"/>
              </w:rPr>
              <w:t xml:space="preserve">140-series numbers for promotional calls and 1600-series numbers for service/transactional calls</w:t>
            </w:r>
          </w:p>
          <w:p>
            <w:pPr>
              <w:pStyle w:val="ListParagraph"/>
              <w:numPr>
                <w:ilvl w:val="0"/>
                <w:numId w:val="4"/>
              </w:numPr>
              <w:spacing w:after="0" w:line="240" w:lineRule="auto"/>
              <w:ind w:left="216" w:hanging="216"/>
              <w:rPr>
                <w:sz w:val="18"/>
                <w:szCs w:val="18"/>
              </w:rPr>
            </w:pPr>
            <w:r>
              <w:rPr>
                <w:sz w:val="18"/>
                <w:szCs w:val="18"/>
              </w:rPr>
              <w:t xml:space="preserve">Internet telephony numbers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rPr>
                <w:sz w:val="18"/>
                <w:szCs w:val="18"/>
              </w:rPr>
            </w:pPr>
            <w:hyperlink r:id="rId105" w:history="1">
              <w:r>
                <w:rPr>
                  <w:rStyle w:val="Hyperlink"/>
                  <w:color w:val="0563C1"/>
                  <w:u w:val="single"/>
                  <w:sz w:val="18"/>
                  <w:szCs w:val="18"/>
                </w:rPr>
                <w:t xml:space="preserve">https://www.dot.gov.in/static/uploads/2026/05/9ed5f19dbf38307edc38a54377d82cd5.pdf</w:t>
              </w:r>
            </w:hyperlink>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b/>
                <w:bCs/>
                <w:sz w:val="18"/>
                <w:szCs w:val="18"/>
              </w:rPr>
              <w:sym w:font="Wingdings" w:char="F0FE"/>
            </w:r>
            <w:r>
              <w:rPr>
                <w:b/>
                <w:bCs/>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25 September 2026 TRAI launched the Digital Connectivity Rating (DCR) platform and a field-testing mobile app. They put into operation its framework for rating residential, commercial and government properties on in-building digital connectivity.</w:t>
            </w:r>
          </w:p>
          <w:p>
            <w:pPr>
              <w:pStyle w:val="ListParagraph"/>
              <w:numPr>
                <w:ilvl w:val="0"/>
                <w:numId w:val="4"/>
              </w:numPr>
              <w:spacing w:after="0" w:line="240" w:lineRule="auto"/>
              <w:ind w:left="216" w:hanging="216"/>
              <w:rPr>
                <w:b/>
                <w:bCs/>
                <w:sz w:val="18"/>
                <w:szCs w:val="18"/>
              </w:rPr>
            </w:pPr>
            <w:r>
              <w:rPr>
                <w:b/>
                <w:bCs/>
                <w:sz w:val="18"/>
                <w:szCs w:val="18"/>
              </w:rPr>
              <w:t xml:space="preserve">The platform brings together property managers, registered Digital Connectivity Rating Agencies (DCRAs) and consumers. Ratings cover fibre readiness, mobile network (4G/5G) availability, in-building solutions and Wi-Fi. Certificates are digitally signed and can be verified by QR code.</w:t>
            </w:r>
          </w:p>
          <w:p>
            <w:pPr>
              <w:pStyle w:val="ListParagraph"/>
              <w:numPr>
                <w:ilvl w:val="0"/>
                <w:numId w:val="4"/>
              </w:numPr>
              <w:spacing w:after="0" w:line="240" w:lineRule="auto"/>
              <w:ind w:left="216" w:hanging="216"/>
              <w:rPr>
                <w:b/>
                <w:bCs/>
                <w:sz w:val="18"/>
                <w:szCs w:val="18"/>
              </w:rPr>
            </w:pPr>
            <w:r>
              <w:rPr>
                <w:b/>
                <w:bCs/>
                <w:sz w:val="18"/>
                <w:szCs w:val="18"/>
              </w:rPr>
              <w:t xml:space="preserve">About 70–80% of mobile usage takes place indoors, so the framework makes indoor coverage and quality of service a measurable attribute. This adds to the existing TRAI QoS KPIs (call drop rate, CSSR, throughput) measured through Independent Drive Tests.</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b/>
                <w:bCs/>
                <w:sz w:val="18"/>
                <w:szCs w:val="18"/>
              </w:rPr>
              <w:sym w:font="Wingdings" w:char="F0FE"/>
            </w:r>
            <w:r>
              <w:rPr>
                <w:b/>
                <w:bCs/>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Rating is now open to properties</w:t>
            </w:r>
          </w:p>
        </w:tc>
        <w:tc>
          <w:tcPr>
            <w:tcW w:w="2270" w:type="dxa"/>
          </w:tcPr>
          <w:p>
            <w:pPr>
              <w:spacing w:after="0" w:line="240" w:lineRule="auto"/>
              <w:rPr>
                <w:sz w:val="18"/>
                <w:szCs w:val="18"/>
              </w:rPr>
            </w:pPr>
            <w:hyperlink r:id="rId106" w:history="1">
              <w:r>
                <w:rPr>
                  <w:rStyle w:val="Hyperlink"/>
                  <w:color w:val="0563C1"/>
                  <w:u w:val="single"/>
                  <w:sz w:val="18"/>
                  <w:szCs w:val="18"/>
                </w:rPr>
                <w:t xml:space="preserve">https://www.business-standard.com/amp/industry/news/trai-launches-platform-to-rate-properties-on-digital-connectivity-126092500807_1.html</w:t>
              </w:r>
            </w:hyperlink>
          </w:p>
          <w:p>
            <w:pPr>
              <w:spacing w:after="0" w:line="240" w:lineRule="auto"/>
              <w:rPr>
                <w:sz w:val="18"/>
                <w:szCs w:val="18"/>
              </w:rPr>
            </w:pPr>
            <w:hyperlink r:id="rId107" w:history="1">
              <w:r>
                <w:rPr>
                  <w:rStyle w:val="Hyperlink"/>
                  <w:color w:val="0563C1"/>
                  <w:u w:val="single"/>
                  <w:sz w:val="18"/>
                  <w:szCs w:val="18"/>
                </w:rPr>
                <w:t xml:space="preserve">https://ddindia.co.in/2026/09/trai-launches-digital-connectivity-rating-platform/</w:t>
              </w:r>
            </w:hyperlink>
          </w:p>
          <w:p>
            <w:pPr>
              <w:spacing w:after="0" w:line="240" w:lineRule="auto"/>
              <w:rPr>
                <w:sz w:val="18"/>
                <w:szCs w:val="18"/>
              </w:rPr>
            </w:pPr>
            <w:hyperlink r:id="rId108" w:history="1">
              <w:r>
                <w:rPr>
                  <w:rStyle w:val="Hyperlink"/>
                  <w:color w:val="0563C1"/>
                  <w:u w:val="single"/>
                  <w:sz w:val="18"/>
                  <w:szCs w:val="18"/>
                </w:rPr>
                <w:t xml:space="preserve">https://www.trai.gov.in/release-publication/qos-reports/idt-reports</w:t>
              </w:r>
            </w:hyperlink>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b/>
                <w:bCs/>
                <w:sz w:val="18"/>
                <w:szCs w:val="18"/>
              </w:rPr>
              <w:sym w:font="Wingdings" w:char="F0FE"/>
            </w:r>
            <w:r>
              <w:rPr>
                <w:b/>
                <w:bCs/>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Under the TCCCP (Third Amendment) Regulations, 2026 (notified 18 September 2026), senders must declare Application-to-Person (A2P) voice traffic in advance, or face penalties.</w:t>
            </w:r>
          </w:p>
          <w:p>
            <w:pPr>
              <w:pStyle w:val="ListParagraph"/>
              <w:numPr>
                <w:ilvl w:val="0"/>
                <w:numId w:val="4"/>
              </w:numPr>
              <w:spacing w:after="0" w:line="240" w:lineRule="auto"/>
              <w:ind w:left="216" w:hanging="216"/>
              <w:rPr>
                <w:b/>
                <w:bCs/>
                <w:sz w:val="18"/>
                <w:szCs w:val="18"/>
              </w:rPr>
            </w:pPr>
            <w:r>
              <w:rPr>
                <w:b/>
                <w:bCs/>
                <w:sz w:val="18"/>
                <w:szCs w:val="18"/>
              </w:rPr>
              <w:t xml:space="preserve">Enterprise customers that make outbound commercial or automated calls from sites connected to the OBS network must use the designated 140 (promotional) and 1600 (service/transactional) series and meet the registration requirements. Otherwise the traffic may be flagged or blocked by the terminating access provider’s AI/ML-based spam detection.</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b/>
                <w:bCs/>
                <w:sz w:val="18"/>
                <w:szCs w:val="18"/>
              </w:rPr>
              <w:sym w:font="Wingdings" w:char="F0FE"/>
            </w:r>
            <w:r>
              <w:rPr>
                <w:b/>
                <w:bCs/>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As per timelines in the Regulations</w:t>
            </w:r>
          </w:p>
        </w:tc>
        <w:tc>
          <w:tcPr>
            <w:tcW w:w="2270" w:type="dxa"/>
          </w:tcPr>
          <w:p>
            <w:pPr>
              <w:spacing w:after="0" w:line="240" w:lineRule="auto"/>
              <w:rPr>
                <w:sz w:val="18"/>
                <w:szCs w:val="18"/>
              </w:rPr>
            </w:pPr>
            <w:hyperlink r:id="rId109" w:history="1">
              <w:r>
                <w:rPr>
                  <w:rStyle w:val="Hyperlink"/>
                  <w:color w:val="0563C1"/>
                  <w:u w:val="single"/>
                  <w:sz w:val="18"/>
                  <w:szCs w:val="18"/>
                </w:rPr>
                <w:t xml:space="preserve">https://www.tribuneindia.com/news/india/trai-harder-telecom-regulator-tightens-norms-to-curb-spamming/</w:t>
              </w:r>
            </w:hyperlink>
          </w:p>
          <w:p>
            <w:pPr>
              <w:spacing w:after="0" w:line="240" w:lineRule="auto"/>
              <w:rPr>
                <w:sz w:val="18"/>
                <w:szCs w:val="18"/>
              </w:rPr>
            </w:pPr>
            <w:hyperlink r:id="rId110" w:history="1">
              <w:r>
                <w:rPr>
                  <w:rStyle w:val="Hyperlink"/>
                  <w:color w:val="0563C1"/>
                  <w:u w:val="single"/>
                  <w:sz w:val="18"/>
                  <w:szCs w:val="18"/>
                </w:rPr>
                <w:t xml:space="preserve">https://www.trai.gov.in/consultation-draft-telecom-commercial-communications-customer-preference-third-amendment</w:t>
              </w:r>
            </w:hyperlink>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b/>
                <w:bCs/>
                <w:sz w:val="18"/>
                <w:szCs w:val="18"/>
              </w:rPr>
              <w:sym w:font="Wingdings" w:char="F0FE"/>
            </w:r>
            <w:r>
              <w:rPr>
                <w:b/>
                <w:bCs/>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CPaaS and UCaaS providers and their principal entities (enterprises) that originate A2P voice or robocall traffic are covered by the new A2P declaration and anti-spam obligations in the TCCCP (Third Amendment) Regulations, 2026.</w:t>
            </w:r>
          </w:p>
          <w:p>
            <w:pPr>
              <w:pStyle w:val="ListParagraph"/>
              <w:numPr>
                <w:ilvl w:val="0"/>
                <w:numId w:val="4"/>
              </w:numPr>
              <w:spacing w:after="0" w:line="240" w:lineRule="auto"/>
              <w:ind w:left="216" w:hanging="216"/>
              <w:rPr>
                <w:b/>
                <w:bCs/>
                <w:sz w:val="18"/>
                <w:szCs w:val="18"/>
              </w:rPr>
            </w:pPr>
            <w:r>
              <w:rPr>
                <w:b/>
                <w:bCs/>
                <w:sz w:val="18"/>
                <w:szCs w:val="18"/>
              </w:rPr>
              <w:t xml:space="preserve">TRAI also provides a regulatory sandbox for trials of new AI/ML and DLT-based anti-spam solutions before national roll-out.</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w:t>
            </w:r>
          </w:p>
        </w:tc>
        <w:tc>
          <w:tcPr>
            <w:tcW w:w="2270" w:type="dxa"/>
          </w:tcPr>
          <w:p>
            <w:pPr>
              <w:spacing w:after="0" w:line="240" w:lineRule="auto"/>
              <w:rPr>
                <w:sz w:val="18"/>
                <w:szCs w:val="18"/>
              </w:rPr>
            </w:pPr>
            <w:hyperlink r:id="rId111" w:history="1">
              <w:r>
                <w:rPr>
                  <w:rStyle w:val="Hyperlink"/>
                  <w:color w:val="0563C1"/>
                  <w:u w:val="single"/>
                  <w:sz w:val="18"/>
                  <w:szCs w:val="18"/>
                </w:rPr>
                <w:t xml:space="preserve">https://www.aaplusconsultants.com/article-tcccpr-third-amendment.html</w:t>
              </w:r>
            </w:hyperlink>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b/>
                <w:bCs/>
                <w:sz w:val="18"/>
                <w:szCs w:val="18"/>
              </w:rPr>
              <w:sym w:font="Wingdings" w:char="F0FE"/>
            </w:r>
            <w:r>
              <w:rPr>
                <w:b/>
                <w:bCs/>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18 September 2026 TRAI notified the Telecom Commercial Communications Customer Preference (Third Amendment) Regulations, 2026. The draft had been issued for consultation on 13 March 2026.</w:t>
            </w:r>
          </w:p>
          <w:p>
            <w:pPr>
              <w:pStyle w:val="ListParagraph"/>
              <w:numPr>
                <w:ilvl w:val="0"/>
                <w:numId w:val="4"/>
              </w:numPr>
              <w:spacing w:after="0" w:line="240" w:lineRule="auto"/>
              <w:ind w:left="216" w:hanging="216"/>
              <w:rPr>
                <w:b/>
                <w:bCs/>
                <w:sz w:val="18"/>
                <w:szCs w:val="18"/>
              </w:rPr>
            </w:pPr>
            <w:r>
              <w:rPr>
                <w:b/>
                <w:bCs/>
                <w:sz w:val="18"/>
                <w:szCs w:val="18"/>
              </w:rPr>
              <w:t xml:space="preserve">Access providers must use AI/ML-based systems to detect suspected spam and numbers with a high probability of spam use, and must alert customers.</w:t>
            </w:r>
          </w:p>
          <w:p>
            <w:pPr>
              <w:pStyle w:val="ListParagraph"/>
              <w:numPr>
                <w:ilvl w:val="0"/>
                <w:numId w:val="4"/>
              </w:numPr>
              <w:spacing w:after="0" w:line="240" w:lineRule="auto"/>
              <w:ind w:left="216" w:hanging="216"/>
              <w:rPr>
                <w:b/>
                <w:bCs/>
                <w:sz w:val="18"/>
                <w:szCs w:val="18"/>
              </w:rPr>
            </w:pPr>
            <w:r>
              <w:rPr>
                <w:b/>
                <w:bCs/>
                <w:sz w:val="18"/>
                <w:szCs w:val="18"/>
              </w:rPr>
              <w:t xml:space="preserve">The amendment strengthens norms on automated calling, robocalls and artificial or pre-recorded voice calls, and brings in stricter controls on A2P calls.</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b/>
                <w:bCs/>
                <w:sz w:val="18"/>
                <w:szCs w:val="18"/>
              </w:rPr>
              <w:sym w:font="Wingdings" w:char="F0FE"/>
            </w:r>
            <w:r>
              <w:rPr>
                <w:b/>
                <w:bCs/>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As per timelines in the Regulations</w:t>
            </w:r>
          </w:p>
        </w:tc>
        <w:tc>
          <w:tcPr>
            <w:tcW w:w="2270" w:type="dxa"/>
          </w:tcPr>
          <w:p>
            <w:pPr>
              <w:spacing w:after="0" w:line="240" w:lineRule="auto"/>
              <w:rPr>
                <w:sz w:val="18"/>
                <w:szCs w:val="18"/>
              </w:rPr>
            </w:pPr>
            <w:hyperlink r:id="rId112" w:history="1">
              <w:r>
                <w:rPr>
                  <w:rStyle w:val="Hyperlink"/>
                  <w:color w:val="0563C1"/>
                  <w:u w:val="single"/>
                  <w:sz w:val="18"/>
                  <w:szCs w:val="18"/>
                </w:rPr>
                <w:t xml:space="preserve">https://www.tribuneindia.com/news/india/trai-harder-telecom-regulator-tightens-norms-to-curb-spamming/</w:t>
              </w:r>
            </w:hyperlink>
          </w:p>
          <w:p>
            <w:pPr>
              <w:spacing w:after="0" w:line="240" w:lineRule="auto"/>
              <w:rPr>
                <w:sz w:val="18"/>
                <w:szCs w:val="18"/>
              </w:rPr>
            </w:pPr>
            <w:hyperlink r:id="rId113" w:history="1">
              <w:r>
                <w:rPr>
                  <w:rStyle w:val="Hyperlink"/>
                  <w:color w:val="0563C1"/>
                  <w:u w:val="single"/>
                  <w:sz w:val="18"/>
                  <w:szCs w:val="18"/>
                </w:rPr>
                <w:t xml:space="preserve">https://www.policyedge.in/p/trai-draft-telecom-commercial-communications-customer-preference-third-amendment-regulations-2026</w:t>
              </w:r>
            </w:hyperlink>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b/>
                <w:bCs/>
                <w:sz w:val="18"/>
                <w:szCs w:val="18"/>
              </w:rPr>
              <w:sym w:font="Wingdings" w:char="F0FE"/>
            </w:r>
            <w:r>
              <w:rPr>
                <w:b/>
                <w:bCs/>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b/>
                <w:bCs/>
                <w:sz w:val="18"/>
                <w:szCs w:val="18"/>
              </w:rPr>
              <w:sym w:font="Wingdings" w:char="F0FE"/>
            </w:r>
            <w:r>
              <w:rPr>
                <w:b/>
                <w:bCs/>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The Digital Communications Commission (DCC), the top decision-making body of DoT, approved most TRAI recommendations on satellite communication spectrum. The meeting was held on 3 September 2026 and the decision was announced on 8 September 2026.</w:t>
            </w:r>
          </w:p>
          <w:p>
            <w:pPr>
              <w:pStyle w:val="ListParagraph"/>
              <w:numPr>
                <w:ilvl w:val="0"/>
                <w:numId w:val="4"/>
              </w:numPr>
              <w:spacing w:after="0" w:line="240" w:lineRule="auto"/>
              <w:ind w:left="216" w:hanging="216"/>
              <w:rPr>
                <w:b/>
                <w:bCs/>
                <w:sz w:val="18"/>
                <w:szCs w:val="18"/>
              </w:rPr>
            </w:pPr>
            <w:r>
              <w:rPr>
                <w:b/>
                <w:bCs/>
                <w:sz w:val="18"/>
                <w:szCs w:val="18"/>
              </w:rPr>
              <w:t xml:space="preserve">Satellite spectrum will be assigned administratively (not by auction) for 5 years, with a possible 2-year extension. The spectrum usage charge is 5% of AGR, reduced to 4% in rural and remote areas.</w:t>
            </w:r>
          </w:p>
          <w:p>
            <w:pPr>
              <w:pStyle w:val="ListParagraph"/>
              <w:numPr>
                <w:ilvl w:val="0"/>
                <w:numId w:val="4"/>
              </w:numPr>
              <w:spacing w:after="0" w:line="240" w:lineRule="auto"/>
              <w:ind w:left="216" w:hanging="216"/>
              <w:rPr>
                <w:b/>
                <w:bCs/>
                <w:sz w:val="18"/>
                <w:szCs w:val="18"/>
              </w:rPr>
            </w:pPr>
            <w:r>
              <w:rPr>
                <w:b/>
                <w:bCs/>
                <w:sz w:val="18"/>
                <w:szCs w:val="18"/>
              </w:rPr>
              <w:t xml:space="preserve">The decision clears the way for Starlink, Eutelsat OneWeb and Jio Satellite to launch satellite broadband services. Draft rules also bring in mandatory security clearance for consumer satellite broadband and satellite phone services.</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Subject to Union Cabinet approval</w:t>
            </w:r>
          </w:p>
        </w:tc>
        <w:tc>
          <w:tcPr>
            <w:tcW w:w="2270" w:type="dxa"/>
          </w:tcPr>
          <w:p>
            <w:pPr>
              <w:spacing w:after="0" w:line="240" w:lineRule="auto"/>
              <w:rPr>
                <w:sz w:val="18"/>
                <w:szCs w:val="18"/>
              </w:rPr>
            </w:pPr>
            <w:hyperlink r:id="rId114" w:history="1">
              <w:r>
                <w:rPr>
                  <w:rStyle w:val="Hyperlink"/>
                  <w:color w:val="0563C1"/>
                  <w:u w:val="single"/>
                  <w:sz w:val="18"/>
                  <w:szCs w:val="18"/>
                </w:rPr>
                <w:t xml:space="preserve">https://www.business-standard.com/industry/news/trai-clears-the-decks-for-satellite-broadband-services-in-india-126090801317_1.html</w:t>
              </w:r>
            </w:hyperlink>
          </w:p>
          <w:p>
            <w:pPr>
              <w:spacing w:after="0" w:line="240" w:lineRule="auto"/>
              <w:rPr>
                <w:sz w:val="18"/>
                <w:szCs w:val="18"/>
              </w:rPr>
            </w:pPr>
            <w:hyperlink r:id="rId115" w:history="1">
              <w:r>
                <w:rPr>
                  <w:rStyle w:val="Hyperlink"/>
                  <w:color w:val="0563C1"/>
                  <w:u w:val="single"/>
                  <w:sz w:val="18"/>
                  <w:szCs w:val="18"/>
                </w:rPr>
                <w:t xml:space="preserve">https://www.medianama.com/2026/09/223-starlink-oneweb-jio-dcc-spectrum-approval/</w:t>
              </w:r>
            </w:hyperlink>
          </w:p>
          <w:p>
            <w:pPr>
              <w:spacing w:after="0" w:line="240" w:lineRule="auto"/>
              <w:rPr>
                <w:sz w:val="18"/>
                <w:szCs w:val="18"/>
              </w:rPr>
            </w:pPr>
            <w:hyperlink r:id="rId116" w:history="1">
              <w:r>
                <w:rPr>
                  <w:rStyle w:val="Hyperlink"/>
                  <w:color w:val="0563C1"/>
                  <w:u w:val="single"/>
                  <w:sz w:val="18"/>
                  <w:szCs w:val="18"/>
                </w:rPr>
                <w:t xml:space="preserve">https://www.etvbharat.com/en/technology/digital-communications-commission-approves-trai-recommendations-on-satcom-spectrum-enn26090806612</w:t>
              </w:r>
            </w:hyperlink>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b/>
                <w:bCs/>
                <w:sz w:val="18"/>
                <w:szCs w:val="18"/>
              </w:rPr>
              <w:sym w:font="Wingdings" w:char="F0FE"/>
            </w:r>
            <w:r>
              <w:rPr>
                <w:b/>
                <w:bCs/>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22 September 2026 TRAI notified the Telecom Consumer Protection (Thirteenth Amendment) Regulations, 2026.</w:t>
            </w:r>
          </w:p>
          <w:p>
            <w:pPr>
              <w:pStyle w:val="ListParagraph"/>
              <w:numPr>
                <w:ilvl w:val="0"/>
                <w:numId w:val="4"/>
              </w:numPr>
              <w:spacing w:after="0" w:line="240" w:lineRule="auto"/>
              <w:ind w:left="216" w:hanging="216"/>
              <w:rPr>
                <w:b/>
                <w:bCs/>
                <w:sz w:val="18"/>
                <w:szCs w:val="18"/>
              </w:rPr>
            </w:pPr>
            <w:r>
              <w:rPr>
                <w:b/>
                <w:bCs/>
                <w:sz w:val="18"/>
                <w:szCs w:val="18"/>
              </w:rPr>
              <w:t xml:space="preserve">Access providers must offer voice-and-SMS-only Special Tariff Vouchers (STVs) with validity of 30 days or less, and must allow more flexible renewal. This gives low-income and feature-phone users affordable options that do not include data.</w:t>
            </w:r>
          </w:p>
          <w:p>
            <w:pPr>
              <w:pStyle w:val="ListParagraph"/>
              <w:numPr>
                <w:ilvl w:val="0"/>
                <w:numId w:val="4"/>
              </w:numPr>
              <w:spacing w:after="0" w:line="240" w:lineRule="auto"/>
              <w:ind w:left="216" w:hanging="216"/>
              <w:rPr>
                <w:b/>
                <w:bCs/>
                <w:sz w:val="18"/>
                <w:szCs w:val="18"/>
              </w:rPr>
            </w:pPr>
            <w:r>
              <w:rPr>
                <w:b/>
                <w:bCs/>
                <w:sz w:val="18"/>
                <w:szCs w:val="18"/>
              </w:rPr>
              <w:t xml:space="preserve">The regulations follow a draft issued on 7 April 2026, 1,132 stakeholder responses and an Open House Discussion on 15 June 2026.</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b/>
                <w:bCs/>
                <w:sz w:val="18"/>
                <w:szCs w:val="18"/>
              </w:rPr>
              <w:sym w:font="Wingdings" w:char="F0FE"/>
            </w:r>
            <w:r>
              <w:rPr>
                <w:b/>
                <w:bCs/>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As per timelines in the Regulations</w:t>
            </w:r>
          </w:p>
        </w:tc>
        <w:tc>
          <w:tcPr>
            <w:tcW w:w="2270" w:type="dxa"/>
          </w:tcPr>
          <w:p>
            <w:pPr>
              <w:spacing w:after="0" w:line="240" w:lineRule="auto"/>
              <w:rPr>
                <w:sz w:val="18"/>
                <w:szCs w:val="18"/>
              </w:rPr>
            </w:pPr>
            <w:hyperlink r:id="rId117" w:history="1">
              <w:r>
                <w:rPr>
                  <w:rStyle w:val="Hyperlink"/>
                  <w:color w:val="0563C1"/>
                  <w:u w:val="single"/>
                  <w:sz w:val="18"/>
                  <w:szCs w:val="18"/>
                </w:rPr>
                <w:t xml:space="preserve">https://telecomtalk.info/trai-mandates-shorter-validity-voice-sms-stvs/1012115/</w:t>
              </w:r>
            </w:hyperlink>
          </w:p>
          <w:p>
            <w:pPr>
              <w:spacing w:after="0" w:line="240" w:lineRule="auto"/>
              <w:rPr>
                <w:sz w:val="18"/>
                <w:szCs w:val="18"/>
              </w:rPr>
            </w:pPr>
            <w:hyperlink r:id="rId118" w:history="1">
              <w:r>
                <w:rPr>
                  <w:rStyle w:val="Hyperlink"/>
                  <w:color w:val="0563C1"/>
                  <w:u w:val="single"/>
                  <w:sz w:val="18"/>
                  <w:szCs w:val="18"/>
                </w:rPr>
                <w:t xml:space="preserve">https://www.theweek.in/news/biz-tech/2026/09/23/trai-voice-sms-plans-regulation-update-prepaid-packs-feature-phones.html</w:t>
              </w:r>
            </w:hyperlink>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www.business-standard.com/industry/news/microsoft-launches-4th-india-cloud-region-in-hyderabad-to-boost-ai-capacity-126092100431_1.html" TargetMode="External"/><Relationship Id="rId102" Type="http://schemas.openxmlformats.org/officeDocument/2006/relationships/hyperlink" Target="https://www.tcs.com/who-we-are/newsroom/press-release/tcs-hypervault-establish-large-scale-ai-data-center-campus-telangana" TargetMode="External"/><Relationship Id="rId103" Type="http://schemas.openxmlformats.org/officeDocument/2006/relationships/hyperlink" Target="https://www.cushmanwakefield.com/en/india/news/2026/09/india-data-centre-h1-2026-update" TargetMode="External"/><Relationship Id="rId104" Type="http://schemas.openxmlformats.org/officeDocument/2006/relationships/hyperlink" Target="https://www.datacenterdynamics.com/en/regions/asia-pacific/india/" TargetMode="External"/><Relationship Id="rId105" Type="http://schemas.openxmlformats.org/officeDocument/2006/relationships/hyperlink" Target="https://www.dot.gov.in/static/uploads/2026/05/9ed5f19dbf38307edc38a54377d82cd5.pdf" TargetMode="External"/><Relationship Id="rId106" Type="http://schemas.openxmlformats.org/officeDocument/2006/relationships/hyperlink" Target="https://www.business-standard.com/amp/industry/news/trai-launches-platform-to-rate-properties-on-digital-connectivity-126092500807_1.html" TargetMode="External"/><Relationship Id="rId107" Type="http://schemas.openxmlformats.org/officeDocument/2006/relationships/hyperlink" Target="https://ddindia.co.in/2026/09/trai-launches-digital-connectivity-rating-platform/" TargetMode="External"/><Relationship Id="rId108" Type="http://schemas.openxmlformats.org/officeDocument/2006/relationships/hyperlink" Target="https://www.trai.gov.in/release-publication/qos-reports/idt-reports" TargetMode="External"/><Relationship Id="rId109" Type="http://schemas.openxmlformats.org/officeDocument/2006/relationships/hyperlink" Target="https://www.tribuneindia.com/news/india/trai-harder-telecom-regulator-tightens-norms-to-curb-spamming/" TargetMode="External"/><Relationship Id="rId110" Type="http://schemas.openxmlformats.org/officeDocument/2006/relationships/hyperlink" Target="https://www.trai.gov.in/consultation-draft-telecom-commercial-communications-customer-preference-third-amendment" TargetMode="External"/><Relationship Id="rId111" Type="http://schemas.openxmlformats.org/officeDocument/2006/relationships/hyperlink" Target="https://www.aaplusconsultants.com/article-tcccpr-third-amendment.html" TargetMode="External"/><Relationship Id="rId112" Type="http://schemas.openxmlformats.org/officeDocument/2006/relationships/hyperlink" Target="https://www.tribuneindia.com/news/india/trai-harder-telecom-regulator-tightens-norms-to-curb-spamming/" TargetMode="External"/><Relationship Id="rId113" Type="http://schemas.openxmlformats.org/officeDocument/2006/relationships/hyperlink" Target="https://www.policyedge.in/p/trai-draft-telecom-commercial-communications-customer-preference-third-amendment-regulations-2026" TargetMode="External"/><Relationship Id="rId114" Type="http://schemas.openxmlformats.org/officeDocument/2006/relationships/hyperlink" Target="https://www.business-standard.com/industry/news/trai-clears-the-decks-for-satellite-broadband-services-in-india-126090801317_1.html" TargetMode="External"/><Relationship Id="rId115" Type="http://schemas.openxmlformats.org/officeDocument/2006/relationships/hyperlink" Target="https://www.medianama.com/2026/09/223-starlink-oneweb-jio-dcc-spectrum-approval/" TargetMode="External"/><Relationship Id="rId116" Type="http://schemas.openxmlformats.org/officeDocument/2006/relationships/hyperlink" Target="https://www.etvbharat.com/en/technology/digital-communications-commission-approves-trai-recommendations-on-satcom-spectrum-enn26090806612" TargetMode="External"/><Relationship Id="rId117" Type="http://schemas.openxmlformats.org/officeDocument/2006/relationships/hyperlink" Target="https://telecomtalk.info/trai-mandates-shorter-validity-voice-sms-stvs/1012115/" TargetMode="External"/><Relationship Id="rId118" Type="http://schemas.openxmlformats.org/officeDocument/2006/relationships/hyperlink" Target="https://www.theweek.in/news/biz-tech/2026/09/23/trai-voice-sms-plans-regulation-update-prepaid-packs-feature-pho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