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2563EB"/>
        </w:rPr>
        <w:t>Breast Cancer AI Analysis Report</w:t>
      </w:r>
    </w:p>
    <w:p>
      <w:r>
        <w:t>Report ID: 26a6dbaa0a6247de9266f9596d7dc1d3</w:t>
      </w:r>
    </w:p>
    <w:p>
      <w:r>
        <w:t>Generated: 2026-10-02 23:09:54</w:t>
      </w:r>
    </w:p>
    <w:p/>
    <w:p>
      <w:pPr>
        <w:pStyle w:val="Heading1"/>
      </w:pPr>
      <w:r>
        <w:t>Patient Information</w:t>
      </w:r>
    </w:p>
    <w:tbl>
      <w:tblPr>
        <w:tblStyle w:val="LightGrid-Accent1"/>
        <w:tblW w:type="auto" w:w="0"/>
        <w:tblLook w:firstColumn="1" w:firstRow="1" w:lastColumn="0" w:lastRow="0" w:noHBand="0" w:noVBand="1" w:val="04A0"/>
      </w:tblPr>
      <w:tblGrid>
        <w:gridCol w:w="4320"/>
        <w:gridCol w:w="4320"/>
      </w:tblGrid>
      <w:tr>
        <w:tc>
          <w:tcPr>
            <w:tcW w:type="dxa" w:w="4320"/>
          </w:tcPr>
          <w:p>
            <w:r>
              <w:t>Age at Diagnosis</w:t>
            </w:r>
          </w:p>
        </w:tc>
        <w:tc>
          <w:tcPr>
            <w:tcW w:type="dxa" w:w="4320"/>
          </w:tcPr>
          <w:p>
            <w:r>
              <w:t>55</w:t>
            </w:r>
          </w:p>
        </w:tc>
      </w:tr>
      <w:tr>
        <w:tc>
          <w:tcPr>
            <w:tcW w:type="dxa" w:w="4320"/>
          </w:tcPr>
          <w:p>
            <w:r>
              <w:t>ER Status</w:t>
            </w:r>
          </w:p>
        </w:tc>
        <w:tc>
          <w:tcPr>
            <w:tcW w:type="dxa" w:w="4320"/>
          </w:tcPr>
          <w:p>
            <w:r>
              <w:t>Positive</w:t>
            </w:r>
          </w:p>
        </w:tc>
      </w:tr>
      <w:tr>
        <w:tc>
          <w:tcPr>
            <w:tcW w:type="dxa" w:w="4320"/>
          </w:tcPr>
          <w:p>
            <w:r>
              <w:t>PR Status</w:t>
            </w:r>
          </w:p>
        </w:tc>
        <w:tc>
          <w:tcPr>
            <w:tcW w:type="dxa" w:w="4320"/>
          </w:tcPr>
          <w:p>
            <w:r>
              <w:t>Positive</w:t>
            </w:r>
          </w:p>
        </w:tc>
      </w:tr>
      <w:tr>
        <w:tc>
          <w:tcPr>
            <w:tcW w:type="dxa" w:w="4320"/>
          </w:tcPr>
          <w:p>
            <w:r>
              <w:t>HER2 Status</w:t>
            </w:r>
          </w:p>
        </w:tc>
        <w:tc>
          <w:tcPr>
            <w:tcW w:type="dxa" w:w="4320"/>
          </w:tcPr>
          <w:p>
            <w:r>
              <w:t>Negative</w:t>
            </w:r>
          </w:p>
        </w:tc>
      </w:tr>
      <w:tr>
        <w:tc>
          <w:tcPr>
            <w:tcW w:type="dxa" w:w="4320"/>
          </w:tcPr>
          <w:p>
            <w:r>
              <w:t>Tumor Size</w:t>
            </w:r>
          </w:p>
        </w:tc>
        <w:tc>
          <w:tcPr>
            <w:tcW w:type="dxa" w:w="4320"/>
          </w:tcPr>
          <w:p>
            <w:r>
              <w:t>23 mm</w:t>
            </w:r>
          </w:p>
        </w:tc>
      </w:tr>
      <w:tr>
        <w:tc>
          <w:tcPr>
            <w:tcW w:type="dxa" w:w="4320"/>
          </w:tcPr>
          <w:p>
            <w:r>
              <w:t>Positive Lymph Nodes</w:t>
            </w:r>
          </w:p>
        </w:tc>
        <w:tc>
          <w:tcPr>
            <w:tcW w:type="dxa" w:w="4320"/>
          </w:tcPr>
          <w:p>
            <w:r>
              <w:t>1</w:t>
            </w:r>
          </w:p>
        </w:tc>
      </w:tr>
    </w:tbl>
    <w:p/>
    <w:p>
      <w:pPr>
        <w:pStyle w:val="Heading1"/>
      </w:pPr>
      <w:r>
        <w:t>ML Model Predictions</w:t>
      </w:r>
    </w:p>
    <w:p>
      <w:pPr>
        <w:pStyle w:val="Heading2"/>
      </w:pPr>
      <w:r>
        <w:t>Clinical/Biomarker Model</w:t>
      </w:r>
    </w:p>
    <w:p>
      <w:r>
        <w:t>Predicted PAM50 Subtype: LumA</w:t>
      </w:r>
    </w:p>
    <w:p>
      <w:r>
        <w:t>Model Confidence: 37.4%</w:t>
      </w:r>
    </w:p>
    <w:p>
      <w:pPr>
        <w:pStyle w:val="Heading2"/>
      </w:pPr>
      <w:r>
        <w:t>Ultrasound Image Model</w:t>
      </w:r>
    </w:p>
    <w:p>
      <w:r>
        <w:t>Image Prediction: benign</w:t>
      </w:r>
    </w:p>
    <w:p>
      <w:r>
        <w:t>Model Confidence: 71.45%</w:t>
      </w:r>
    </w:p>
    <w:p/>
    <w:p>
      <w:pPr>
        <w:pStyle w:val="Heading1"/>
      </w:pPr>
      <w:r>
        <w:t>AI Agent Analysis &amp; Documentation</w:t>
      </w:r>
    </w:p>
    <w:p>
      <w:pPr>
        <w:pStyle w:val="Heading2"/>
      </w:pPr>
      <w:r>
        <w:t>Executive Summary</w:t>
      </w:r>
    </w:p>
    <w:p>
      <w:r>
        <w:t>The patient is a 55-year-old individual presenting with a 23 mm (T2), ER-positive, PR-positive, and HER2-negative invasive breast carcinoma with one positive lymph node, consistent with clinical Stage IIB disease. An algorithmic biomarker model predicted a Luminal A subtype with low confidence (37.4%), while an ultrasound imaging model incorrectly classified the lesion as benign with 71.45% confidence. Multidisciplinary oncology review and multigene expression profiling are warranted to formulate an evidence-based surgical and adjuvant treatment strategy.</w:t>
      </w:r>
    </w:p>
    <w:p>
      <w:pPr>
        <w:pStyle w:val="Heading2"/>
      </w:pPr>
      <w:r>
        <w:t>Risk Assessment</w:t>
      </w:r>
    </w:p>
    <w:p>
      <w:r>
        <w:t>Moderate to High Risk. Although the ER+/PR+/HER2- phenotype carries favorable biological features, anatomical risk factors—specifically a tumor size exceeding 2 cm (23 mm) and confirmed regional lymph node metastasis (N1)—elevate the risk of disease recurrence. Prognostic scoring relies heavily on the true proliferative capacity of the tumor, meaning clinical risk remains significant despite favorable receptor status until validated by multigene testing.</w:t>
      </w:r>
    </w:p>
    <w:p>
      <w:pPr>
        <w:pStyle w:val="Heading2"/>
      </w:pPr>
      <w:r>
        <w:t>Subtype Analysis</w:t>
      </w:r>
    </w:p>
    <w:p>
      <w:r>
        <w:t>The predicted PAM50 Luminal A subtype is characterized by robust hormone receptor expression, absence of HER2 amplification, and typically low cellular proliferation (low Ki-67). Luminal A carcinomas generally carry the most favorable prognosis among invasive breast cancers, demonstrating high responsiveness to endocrine therapy and modest or negligible benefit from cytotoxic chemotherapy. However, due to nodal involvement and borderline model confidence, definitive confirmation of low proliferation is required.</w:t>
      </w:r>
    </w:p>
    <w:p>
      <w:pPr>
        <w:pStyle w:val="Heading2"/>
      </w:pPr>
      <w:r>
        <w:t>Biomarker Interpretation</w:t>
      </w:r>
    </w:p>
    <w:p>
      <w:r>
        <w:t>ER and PR positivity signifies that neoplastic growth is driven predominantly by estrogen and progesterone signaling pathways, identifying this tumor as highly susceptible to endocrine therapies such as aromatase inhibitors. The negative HER2 status indicates an absence of ERBB2 gene overexpression, meaning HER2-targeted therapies (e.g., trastuzumab, pertuzumab) are not indicated.</w:t>
      </w:r>
    </w:p>
    <w:p>
      <w:pPr>
        <w:pStyle w:val="Heading2"/>
      </w:pPr>
      <w:r>
        <w:t>Treatment Considerations</w:t>
      </w:r>
    </w:p>
    <w:p>
      <w:r>
        <w:t>Surgical resection represents the frontline locoregional modality, followed by adjuvant radiation therapy if breast-conserving surgery or specific high-risk nodal criteria are met. Systemic therapy will fundamentally center on endocrine blockade with an aromatase inhibitor. Cytotoxic chemotherapy (e.g., taxane/alkylator regimens) should be reserved for cases demonstrating a high genomic recurrence score. If high-risk clinicopathologic criteria are met, adjuvant CDK4/6 inhibitor therapy (e.g., abemaciclib) may be considered.</w:t>
      </w:r>
    </w:p>
    <w:p>
      <w:pPr>
        <w:pStyle w:val="Heading2"/>
      </w:pPr>
      <w:r>
        <w:t>Recommended Actions</w:t>
      </w:r>
    </w:p>
    <w:p>
      <w:pPr>
        <w:pStyle w:val="ListBullet"/>
      </w:pPr>
      <w:r>
        <w:t>Multidisciplinary Team Consultation: Convene surgical, medical, and radiation oncology specialists to establish a definitive locoregional and systemic treatment plan for Stage IIB disease.</w:t>
      </w:r>
    </w:p>
    <w:p>
      <w:pPr>
        <w:pStyle w:val="ListBullet"/>
      </w:pPr>
      <w:r>
        <w:t>Gene Expression Profiling (Oncotype DX): Order a 21-gene recurrence score assay to determine the absolute benefit of adjuvant cytotoxic chemotherapy in a postmenopausal patient with 1 positive lymph node per RxPONDER criteria.</w:t>
      </w:r>
    </w:p>
    <w:p>
      <w:pPr>
        <w:pStyle w:val="ListBullet"/>
      </w:pPr>
      <w:r>
        <w:t>Surgical and Locoregional Management: Execute definitive primary tumor resection (breast-conserving surgery or mastectomy) paired with appropriate axillary staging/management and radiation oncology consultation for regional nodal irradiation.</w:t>
      </w:r>
    </w:p>
    <w:p>
      <w:pPr>
        <w:pStyle w:val="ListBullet"/>
      </w:pPr>
      <w:r>
        <w:t>Endocrine Therapy Initiation: Initiate adjuvant endocrine therapy, preferably an aromatase inhibitor (e.g., letrozole or anastrozole) for a planned duration of 5 to 10 years following primary therapy.</w:t>
      </w:r>
    </w:p>
    <w:p>
      <w:pPr>
        <w:pStyle w:val="ListBullet"/>
      </w:pPr>
      <w:r>
        <w:t>Bone Health Baseline and Management: Obtain a baseline dual-energy X-ray absorptiometry (DEXA) scan before starting aromatase inhibitors, and evaluate indications for adjuvant bisphosphonate therapy to reduce bone recurrence and manage osteopenia.</w:t>
      </w:r>
    </w:p>
    <w:p>
      <w:pPr>
        <w:pStyle w:val="Heading2"/>
      </w:pPr>
      <w:r>
        <w:t>Additional Tests Recommended</w:t>
      </w:r>
    </w:p>
    <w:p>
      <w:pPr>
        <w:pStyle w:val="ListBullet"/>
      </w:pPr>
      <w:r>
        <w:t>21-Gene Recurrence Score (Oncotype DX) or equivalent multi-gene prognostic assay to guide chemotherapy decisions.</w:t>
      </w:r>
    </w:p>
    <w:p>
      <w:pPr>
        <w:pStyle w:val="ListBullet"/>
      </w:pPr>
      <w:r>
        <w:t>Ki-67 Proliferation Index via immunohistochemistry to resolve Luminal A versus Luminal B distinction.</w:t>
      </w:r>
    </w:p>
    <w:p>
      <w:pPr>
        <w:pStyle w:val="ListBullet"/>
      </w:pPr>
      <w:r>
        <w:t>Baseline DEXA (Bone Mineral Density) scan and serum 25-hydroxyvitamin D evaluation prior to aromatase inhibitor therapy.</w:t>
      </w:r>
    </w:p>
    <w:p>
      <w:pPr>
        <w:pStyle w:val="Heading2"/>
      </w:pPr>
      <w:r>
        <w:t>Follow-Up Plan</w:t>
      </w:r>
    </w:p>
    <w:p>
      <w:r>
        <w:t>Clinical surveillance examinations every 3 to 6 months for the first 3 years, every 6 to 12 months for years 4 and 5, and annually thereafter. Annual surveillance mammography on preserved breast tissue. Routine bone mineral density monitoring every 1 to 2 years during aromatase inhibitor therapy, alongside continuous monitoring for treatment-related musculoskeletal symptoms.</w:t>
      </w:r>
    </w:p>
    <w:p>
      <w:pPr>
        <w:pStyle w:val="Heading2"/>
      </w:pPr>
      <w:r>
        <w:t>Confidence &amp; Limitations</w:t>
      </w:r>
    </w:p>
    <w:p>
      <w:r>
        <w:t>RESEARCH AND EDUCATIONAL USE ONLY; NOT FOR INDEPENDENT CLINICAL DECISION-MAKING. The PAM50 subtype prediction of LumA carries low confidence (37.4%), creating significant diagnostic uncertainty between Luminal A and Luminal B phenotypes. Furthermore, the ultrasound model predicted a 'benign' status with 71.45% confidence, representing a stark false-negative discordance with biopsy-proven invasive carcinoma with nodal metastasis. AI predictions must strictly serve as adjuncts and never override histopathological and clinical findings.</w:t>
      </w:r>
    </w:p>
    <w:p/>
    <w:p>
      <w:r>
        <w:rPr>
          <w:i/>
          <w:color w:val="808080"/>
          <w:sz w:val="18"/>
        </w:rPr>
        <w:t>DISCLAIMER: This report is generated by an AI system for research and educational purposes only. It should not be used as a substitute for professional medical diagnosis or treatment. Always consult with qualified healthcare professionals for medical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