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rPr>
        <w:t>Breast Cancer AI Analysis Report</w:t>
      </w:r>
    </w:p>
    <w:p>
      <w:r>
        <w:t>Report ID: c7beee77b7d8422dba9c0ae59529e236</w:t>
      </w:r>
    </w:p>
    <w:p>
      <w:r>
        <w:t>Generated: 2026-10-15 10:43:23</w:t>
      </w:r>
    </w:p>
    <w:p/>
    <w:p>
      <w:pPr>
        <w:pStyle w:val="Heading1"/>
      </w:pPr>
      <w:r>
        <w:t>Patient Information</w:t>
      </w:r>
    </w:p>
    <w:tbl>
      <w:tblPr>
        <w:tblStyle w:val="LightGrid-Accent1"/>
        <w:tblW w:type="auto" w:w="0"/>
        <w:tblLook w:firstColumn="1" w:firstRow="1" w:lastColumn="0" w:lastRow="0" w:noHBand="0" w:noVBand="1" w:val="04A0"/>
      </w:tblPr>
      <w:tblGrid>
        <w:gridCol w:w="4320"/>
        <w:gridCol w:w="4320"/>
      </w:tblGrid>
      <w:tr>
        <w:tc>
          <w:tcPr>
            <w:tcW w:type="dxa" w:w="4320"/>
          </w:tcPr>
          <w:p>
            <w:r>
              <w:t>Age at Diagnosis</w:t>
            </w:r>
          </w:p>
        </w:tc>
        <w:tc>
          <w:tcPr>
            <w:tcW w:type="dxa" w:w="4320"/>
          </w:tcPr>
          <w:p>
            <w:r>
              <w:t>56</w:t>
            </w:r>
          </w:p>
        </w:tc>
      </w:tr>
      <w:tr>
        <w:tc>
          <w:tcPr>
            <w:tcW w:type="dxa" w:w="4320"/>
          </w:tcPr>
          <w:p>
            <w:r>
              <w:t>ER Status</w:t>
            </w:r>
          </w:p>
        </w:tc>
        <w:tc>
          <w:tcPr>
            <w:tcW w:type="dxa" w:w="4320"/>
          </w:tcPr>
          <w:p>
            <w:r>
              <w:t>Positive</w:t>
            </w:r>
          </w:p>
        </w:tc>
      </w:tr>
      <w:tr>
        <w:tc>
          <w:tcPr>
            <w:tcW w:type="dxa" w:w="4320"/>
          </w:tcPr>
          <w:p>
            <w:r>
              <w:t>PR Status</w:t>
            </w:r>
          </w:p>
        </w:tc>
        <w:tc>
          <w:tcPr>
            <w:tcW w:type="dxa" w:w="4320"/>
          </w:tcPr>
          <w:p>
            <w:r>
              <w:t>Negative</w:t>
            </w:r>
          </w:p>
        </w:tc>
      </w:tr>
      <w:tr>
        <w:tc>
          <w:tcPr>
            <w:tcW w:type="dxa" w:w="4320"/>
          </w:tcPr>
          <w:p>
            <w:r>
              <w:t>HER2 Status</w:t>
            </w:r>
          </w:p>
        </w:tc>
        <w:tc>
          <w:tcPr>
            <w:tcW w:type="dxa" w:w="4320"/>
          </w:tcPr>
          <w:p>
            <w:r>
              <w:t>Positive</w:t>
            </w:r>
          </w:p>
        </w:tc>
      </w:tr>
      <w:tr>
        <w:tc>
          <w:tcPr>
            <w:tcW w:type="dxa" w:w="4320"/>
          </w:tcPr>
          <w:p>
            <w:r>
              <w:t>Tumor Size</w:t>
            </w:r>
          </w:p>
        </w:tc>
        <w:tc>
          <w:tcPr>
            <w:tcW w:type="dxa" w:w="4320"/>
          </w:tcPr>
          <w:p>
            <w:r>
              <w:t>22 mm</w:t>
            </w:r>
          </w:p>
        </w:tc>
      </w:tr>
      <w:tr>
        <w:tc>
          <w:tcPr>
            <w:tcW w:type="dxa" w:w="4320"/>
          </w:tcPr>
          <w:p>
            <w:r>
              <w:t>Positive Lymph Nodes</w:t>
            </w:r>
          </w:p>
        </w:tc>
        <w:tc>
          <w:tcPr>
            <w:tcW w:type="dxa" w:w="4320"/>
          </w:tcPr>
          <w:p>
            <w:r>
              <w:t>3</w:t>
            </w:r>
          </w:p>
        </w:tc>
      </w:tr>
    </w:tbl>
    <w:p/>
    <w:p>
      <w:pPr>
        <w:pStyle w:val="Heading1"/>
      </w:pPr>
      <w:r>
        <w:t>ML Model Predictions</w:t>
      </w:r>
    </w:p>
    <w:p>
      <w:pPr>
        <w:pStyle w:val="Heading2"/>
      </w:pPr>
      <w:r>
        <w:t>Clinical/Biomarker Model</w:t>
      </w:r>
    </w:p>
    <w:p>
      <w:r>
        <w:t>Predicted PAM50 Subtype: LumB</w:t>
      </w:r>
    </w:p>
    <w:p>
      <w:r>
        <w:t>Model Confidence: 68.57%</w:t>
      </w:r>
    </w:p>
    <w:p>
      <w:pPr>
        <w:pStyle w:val="Heading2"/>
      </w:pPr>
      <w:r>
        <w:t>Ultrasound Image Model</w:t>
      </w:r>
    </w:p>
    <w:p>
      <w:r>
        <w:t>Image Prediction: benign</w:t>
      </w:r>
    </w:p>
    <w:p>
      <w:r>
        <w:t>Model Confidence: 54.93%</w:t>
      </w:r>
    </w:p>
    <w:p/>
    <w:p>
      <w:pPr>
        <w:pStyle w:val="Heading1"/>
      </w:pPr>
      <w:r>
        <w:t>AI Agent Analysis &amp; Documentation</w:t>
      </w:r>
    </w:p>
    <w:p>
      <w:pPr>
        <w:pStyle w:val="Heading2"/>
      </w:pPr>
      <w:r>
        <w:t>Executive Summary</w:t>
      </w:r>
    </w:p>
    <w:p>
      <w:r>
        <w:t>This is a 56-year-old postmenopausal patient with a 22 mm (T2) invasive breast carcinoma showing regional nodal involvement (3 positive lymph nodes, N1). The tumor biomarker profile is ER-positive, PR-negative, and HER2-positive, consistent with an aggressive Luminal B molecular subtype as predicted by the clinical ML model. While the ultrasound AI model suggested a benign lesion with low confidence, this is strongly superseded by confirmed histopathologic malignancy and nodal metastasis.</w:t>
      </w:r>
    </w:p>
    <w:p>
      <w:pPr>
        <w:pStyle w:val="Heading2"/>
      </w:pPr>
      <w:r>
        <w:t>Risk Assessment</w:t>
      </w:r>
    </w:p>
    <w:p>
      <w:r>
        <w:t>High Risk. The patient's risk profile is driven by pathologic nodal involvement (3 positive nodes), primary tumor size &gt; 20 mm, HER2 overexpression, and loss of PR expression. In combination with the predicted Luminal B subtype, these factors indicate an elevated risk of both early locoregional recurrence and distant systemic metastasis if not treated with aggressive multimodal therapy.</w:t>
      </w:r>
    </w:p>
    <w:p>
      <w:pPr>
        <w:pStyle w:val="Heading2"/>
      </w:pPr>
      <w:r>
        <w:t>Subtype Analysis</w:t>
      </w:r>
    </w:p>
    <w:p>
      <w:r>
        <w:t>The clinical model classifies the tumor as Luminal B (LumB) breast cancer (68.57% confidence). Luminal B tumors typically exhibit higher proliferative activity, lower or absent PR expression, and frequently harbor HER2 amplification compared to Luminal A tumors. Prognostically, Luminal B cancers carry a worse overall and disease-free survival rate compared to Luminal A, exhibiting both early and late relapse risks. However, they demonstrate higher response rates to cytotoxic chemotherapy and benefit substantially from targeted HER2 blockade alongside endocrine therapy.</w:t>
      </w:r>
    </w:p>
    <w:p>
      <w:pPr>
        <w:pStyle w:val="Heading2"/>
      </w:pPr>
      <w:r>
        <w:t>Biomarker Interpretation</w:t>
      </w:r>
    </w:p>
    <w:p>
      <w:r>
        <w:t>The ER+/PR-/HER2+ phenotype represents a distinct subset often described as 'triple-positive' or HER2-enriched luminal disease. The positive ER status indicates active estrogen receptor pathways, making endocrine therapy relevant. However, PR negativity in an ER+ tumor frequently reflects cross-talk with alternative growth factor receptor signaling pathways (such as HER2/MAPK/PI3K), which can drive intrinsic resistance to endocrine therapy alone. Dual HER2 positivity mandates the use of anti-HER2 targeted agents, which can restore endocrine sensitivity and significantly improve clinical outcomes.</w:t>
      </w:r>
    </w:p>
    <w:p>
      <w:pPr>
        <w:pStyle w:val="Heading2"/>
      </w:pPr>
      <w:r>
        <w:t>Treatment Considerations</w:t>
      </w:r>
    </w:p>
    <w:p>
      <w:r>
        <w:t>Given the stage IIB (T2N1) ER+/PR-/HER2+ Luminal B profile, standard clinical management emphasizes neoadjuvant systemic therapy with dual HER2 inhibition (trastuzumab plus pertuzumab) combined with taxane- and platinum-based chemotherapy. Following definitive surgery, adjuvant radiation is strongly indicated due to nodal involvement. If residual invasive disease remains at surgery, adjuvant ado-trastuzumab emtansine (T-DM1) should be considered. Upon completion of cytotoxic chemotherapy, long-term adjuvant endocrine therapy with an aromatase inhibitor (e.g., anastrozole or letrozole) for 5-10 years, potentially combined with targeted therapies such as CDK4/6 inhibitors or extended anti-HER2 therapy, is indicated.</w:t>
      </w:r>
    </w:p>
    <w:p>
      <w:pPr>
        <w:pStyle w:val="Heading2"/>
      </w:pPr>
      <w:r>
        <w:t>Recommended Actions</w:t>
      </w:r>
    </w:p>
    <w:p>
      <w:pPr>
        <w:pStyle w:val="ListBullet"/>
      </w:pPr>
      <w:r>
        <w:t>Multidisciplinary tumor board discussion to coordinate the timing and sequencing of systemic therapy, surgical intervention, and post-mastectomy/post-lumpectomy radiation.</w:t>
      </w:r>
    </w:p>
    <w:p>
      <w:pPr>
        <w:pStyle w:val="ListBullet"/>
      </w:pPr>
      <w:r>
        <w:t>Comprehensive systemic staging workup, including contrast-enhanced CT of the chest, abdomen, and pelvis along with a whole-body bone scan (or FDG PET/CT), to exclude distant metastatic disease (M stage) given the T2N1 HER2+ status.</w:t>
      </w:r>
    </w:p>
    <w:p>
      <w:pPr>
        <w:pStyle w:val="ListBullet"/>
      </w:pPr>
      <w:r>
        <w:t>Initiation of neoadjuvant or adjuvant systemic chemo-immunotherapy incorporating dual HER2-targeted blockade (e.g., docetaxel, carboplatin, trastuzumab, and pertuzumab [TCHP]).</w:t>
      </w:r>
    </w:p>
    <w:p>
      <w:pPr>
        <w:pStyle w:val="ListBullet"/>
      </w:pPr>
      <w:r>
        <w:t>Baseline cardiac assessment via transthoracic echocardiogram (TTE) or multigated acquisition (MUGA) scan to establish baseline left ventricular ejection fraction (LVEF) prior to anti-HER2 and potential anthracycline therapy.</w:t>
      </w:r>
    </w:p>
    <w:p>
      <w:pPr>
        <w:pStyle w:val="ListBullet"/>
      </w:pPr>
      <w:r>
        <w:t>Surgical oncology consultation to plan definitive locoregional management, including evaluation for axillary lymph node dissection (ALND) versus post-neoadjuvant targeted axillary dissection, and breast-conserving surgery versus mastectomy.</w:t>
      </w:r>
    </w:p>
    <w:p>
      <w:pPr>
        <w:pStyle w:val="Heading2"/>
      </w:pPr>
      <w:r>
        <w:t>Additional Tests Recommended</w:t>
      </w:r>
    </w:p>
    <w:p>
      <w:pPr>
        <w:pStyle w:val="ListBullet"/>
      </w:pPr>
      <w:r>
        <w:t>Transthoracic Echocardiogram (TTE) or MUGA scan for baseline cardiac safety assessment before anti-HER2 therapy.</w:t>
      </w:r>
    </w:p>
    <w:p>
      <w:pPr>
        <w:pStyle w:val="ListBullet"/>
      </w:pPr>
      <w:r>
        <w:t>Full-body staging imaging via FDG PET/CT or combination of contrast-enhanced CT (chest/abdomen/pelvis) and radionuclide bone scintigraphy.</w:t>
      </w:r>
    </w:p>
    <w:p>
      <w:pPr>
        <w:pStyle w:val="ListBullet"/>
      </w:pPr>
      <w:r>
        <w:t>Baseline Dual-Energy X-ray Absorptiometry (DEXA) scan to evaluate bone mineral density prior to the initiation of aromatase inhibitor therapy.</w:t>
      </w:r>
    </w:p>
    <w:p>
      <w:pPr>
        <w:pStyle w:val="Heading2"/>
      </w:pPr>
      <w:r>
        <w:t>Follow-Up Plan</w:t>
      </w:r>
    </w:p>
    <w:p>
      <w:r>
        <w:t>Regular clinical examinations every 3 to 6 months for the first 3 years, every 6 to 12 months for years 4 and 5, and annually thereafter. LVEF monitoring every 3 months throughout the duration of HER2-targeted therapy. Annual diagnostic mammography and breast clinical exams for locoregional surveillance. Routine monitoring of bone density every 1 to 2 years while maintained on adjuvant aromatase inhibitor therapy.</w:t>
      </w:r>
    </w:p>
    <w:p>
      <w:pPr>
        <w:pStyle w:val="Heading2"/>
      </w:pPr>
      <w:r>
        <w:t>Confidence &amp; Limitations</w:t>
      </w:r>
    </w:p>
    <w:p>
      <w:r>
        <w:t>Clinical subtype model confidence for Luminal B is moderate (68.57%), which aligns coherently with the confirmed ER+/PR-/HER2+ biomarker constellation. The ultrasound AI model prediction of 'benign' (confidence 54.93%) represents a discordant false negative, likely reflecting low model certainty and the inherent limitations of imaging alone; it must be disregarded in favor of histopathologic verification. Disclaimer: This report is generated by an AI assistant for research, academic, and clinical decision-support evaluation purposes only and does not substitute for independent professional medical diagnosis or clinical judgment.</w:t>
      </w:r>
    </w:p>
    <w:p/>
    <w:p>
      <w:r>
        <w:rPr>
          <w:i/>
          <w:color w:val="808080"/>
          <w:sz w:val="18"/>
        </w:rPr>
        <w:t>DISCLAIMER: This report is generated by an AI system for research and educational purposes only. It should not be used as a substitute for professional medical diagnosis or treatment. Always consult with qualified healthcare professionals for medical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