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703B" w14:textId="77777777" w:rsidR="00E01983" w:rsidRPr="00E01983" w:rsidRDefault="00E01983" w:rsidP="00E01983">
      <w:pPr>
        <w:rPr>
          <w:b/>
          <w:bCs/>
        </w:rPr>
      </w:pPr>
      <w:r w:rsidRPr="00E01983">
        <w:rPr>
          <w:b/>
          <w:bCs/>
        </w:rPr>
        <w:t>Day 1 Research Summary (For your PDF/Project Documentation)</w:t>
      </w:r>
    </w:p>
    <w:p w14:paraId="1BC984CB" w14:textId="77777777" w:rsidR="00E01983" w:rsidRPr="00E01983" w:rsidRDefault="00E01983" w:rsidP="00E01983">
      <w:r w:rsidRPr="00E01983">
        <w:rPr>
          <w:b/>
          <w:bCs/>
        </w:rPr>
        <w:t>Topic 1: Privacy-Preserving Computation (COTI V2 &amp; Garbled Circuits)</w:t>
      </w:r>
    </w:p>
    <w:p w14:paraId="1CF80EE1" w14:textId="77777777" w:rsidR="00E01983" w:rsidRPr="00E01983" w:rsidRDefault="00E01983" w:rsidP="00E01983">
      <w:pPr>
        <w:numPr>
          <w:ilvl w:val="0"/>
          <w:numId w:val="1"/>
        </w:numPr>
      </w:pPr>
      <w:r w:rsidRPr="00E01983">
        <w:rPr>
          <w:b/>
          <w:bCs/>
        </w:rPr>
        <w:t>Key Insight:</w:t>
      </w:r>
      <w:r w:rsidRPr="00E01983">
        <w:t xml:space="preserve"> Unlike standard Zero-Knowledge (ZK) proofs which can be slow and computationally expensive for mobile devices, </w:t>
      </w:r>
      <w:r w:rsidRPr="00E01983">
        <w:rPr>
          <w:b/>
          <w:bCs/>
        </w:rPr>
        <w:t>Garbled Circuits (GC)</w:t>
      </w:r>
      <w:r w:rsidRPr="00E01983">
        <w:t xml:space="preserve"> (as used by COTI V2) allow for 1000x faster processing of private data.</w:t>
      </w:r>
    </w:p>
    <w:p w14:paraId="735F8AE1" w14:textId="77777777" w:rsidR="00E01983" w:rsidRPr="00E01983" w:rsidRDefault="00E01983" w:rsidP="00E01983">
      <w:pPr>
        <w:numPr>
          <w:ilvl w:val="0"/>
          <w:numId w:val="1"/>
        </w:numPr>
      </w:pPr>
      <w:r w:rsidRPr="00E01983">
        <w:rPr>
          <w:b/>
          <w:bCs/>
        </w:rPr>
        <w:t>Application:</w:t>
      </w:r>
      <w:r w:rsidRPr="00E01983">
        <w:t xml:space="preserve"> In our "Agora-Link" bridge, we use GC principles to verify a user’s ID. The system computes a "Compliance Pass" without the developer or the blockchain ever seeing the raw ID document or the credit card number.</w:t>
      </w:r>
    </w:p>
    <w:p w14:paraId="335FBBF8" w14:textId="77777777" w:rsidR="00E01983" w:rsidRPr="00E01983" w:rsidRDefault="00E01983" w:rsidP="00E01983">
      <w:r w:rsidRPr="00E01983">
        <w:rPr>
          <w:b/>
          <w:bCs/>
        </w:rPr>
        <w:t>Topic 2: AI-Driven AML (Anti-Money Laundering) Typologies</w:t>
      </w:r>
    </w:p>
    <w:p w14:paraId="7ABAF806" w14:textId="77777777" w:rsidR="00E01983" w:rsidRPr="00E01983" w:rsidRDefault="00E01983" w:rsidP="00E01983">
      <w:pPr>
        <w:numPr>
          <w:ilvl w:val="0"/>
          <w:numId w:val="2"/>
        </w:numPr>
      </w:pPr>
      <w:r w:rsidRPr="00E01983">
        <w:rPr>
          <w:b/>
          <w:bCs/>
        </w:rPr>
        <w:t>Key Insight:</w:t>
      </w:r>
      <w:r w:rsidRPr="00E01983">
        <w:t xml:space="preserve"> Modern AML is moving from "Rule-based" (if x &gt; 10,000, flag) to "</w:t>
      </w:r>
      <w:proofErr w:type="spellStart"/>
      <w:r w:rsidRPr="00E01983">
        <w:t>Behavior</w:t>
      </w:r>
      <w:proofErr w:type="spellEnd"/>
      <w:r w:rsidRPr="00E01983">
        <w:t>-based" (Pattern recognition).</w:t>
      </w:r>
    </w:p>
    <w:p w14:paraId="71CA03B3" w14:textId="77777777" w:rsidR="00E01983" w:rsidRPr="00E01983" w:rsidRDefault="00E01983" w:rsidP="00E01983">
      <w:pPr>
        <w:numPr>
          <w:ilvl w:val="0"/>
          <w:numId w:val="2"/>
        </w:numPr>
      </w:pPr>
      <w:r w:rsidRPr="00E01983">
        <w:rPr>
          <w:b/>
          <w:bCs/>
        </w:rPr>
        <w:t>Application:</w:t>
      </w:r>
      <w:r w:rsidRPr="00E01983">
        <w:t xml:space="preserve"> Our Python AI engine will use </w:t>
      </w:r>
      <w:r w:rsidRPr="00E01983">
        <w:rPr>
          <w:b/>
          <w:bCs/>
        </w:rPr>
        <w:t>Anomaly Detection</w:t>
      </w:r>
      <w:r w:rsidRPr="00E01983">
        <w:t xml:space="preserve"> to identify "Smurfing" (breaking large transactions into small ones) and "Rapid-Fire" transfers, which are common patterns for money laundering in Web3.</w:t>
      </w:r>
    </w:p>
    <w:p w14:paraId="6DFCDE3D" w14:textId="77777777" w:rsidR="00E01983" w:rsidRPr="00E01983" w:rsidRDefault="00E01983" w:rsidP="00E01983">
      <w:r w:rsidRPr="00E01983">
        <w:rPr>
          <w:b/>
          <w:bCs/>
        </w:rPr>
        <w:t>Topic 3: Hybrid Payment Architecture (Web2 to Web3)</w:t>
      </w:r>
    </w:p>
    <w:p w14:paraId="18E6BFE0" w14:textId="77777777" w:rsidR="00E01983" w:rsidRPr="00E01983" w:rsidRDefault="00E01983" w:rsidP="00E01983">
      <w:pPr>
        <w:numPr>
          <w:ilvl w:val="0"/>
          <w:numId w:val="3"/>
        </w:numPr>
      </w:pPr>
      <w:r w:rsidRPr="00E01983">
        <w:rPr>
          <w:b/>
          <w:bCs/>
        </w:rPr>
        <w:t>Key Insight:</w:t>
      </w:r>
      <w:r w:rsidRPr="00E01983">
        <w:t xml:space="preserve"> 2026 standards (e.g., Mastercard Crypto Partner Program) emphasize "Trust Anchors."</w:t>
      </w:r>
    </w:p>
    <w:p w14:paraId="675BB5A3" w14:textId="77777777" w:rsidR="00E01983" w:rsidRPr="00E01983" w:rsidRDefault="00E01983" w:rsidP="00E01983">
      <w:pPr>
        <w:numPr>
          <w:ilvl w:val="0"/>
          <w:numId w:val="3"/>
        </w:numPr>
      </w:pPr>
      <w:r w:rsidRPr="00E01983">
        <w:rPr>
          <w:b/>
          <w:bCs/>
        </w:rPr>
        <w:t>Application:</w:t>
      </w:r>
      <w:r w:rsidRPr="00E01983">
        <w:t xml:space="preserve"> We are building a middleware that acts as a </w:t>
      </w:r>
      <w:r w:rsidRPr="00E01983">
        <w:rPr>
          <w:b/>
          <w:bCs/>
        </w:rPr>
        <w:t>Trust Anchor</w:t>
      </w:r>
      <w:r w:rsidRPr="00E01983">
        <w:t>—it holds the fiat (card payment) in a secure state until the blockchain smart contract confirms the availability of liquidity and the compliance pass.</w:t>
      </w:r>
    </w:p>
    <w:p w14:paraId="6943B772" w14:textId="77777777" w:rsidR="00EC0EBE" w:rsidRDefault="00EC0EBE"/>
    <w:sectPr w:rsidR="00EC0E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E08"/>
    <w:multiLevelType w:val="multilevel"/>
    <w:tmpl w:val="F9E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D6E5E"/>
    <w:multiLevelType w:val="multilevel"/>
    <w:tmpl w:val="9F3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9651E"/>
    <w:multiLevelType w:val="multilevel"/>
    <w:tmpl w:val="FAE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16091">
    <w:abstractNumId w:val="2"/>
  </w:num>
  <w:num w:numId="2" w16cid:durableId="1694113076">
    <w:abstractNumId w:val="1"/>
  </w:num>
  <w:num w:numId="3" w16cid:durableId="34262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BE"/>
    <w:rsid w:val="00B5225D"/>
    <w:rsid w:val="00E01983"/>
    <w:rsid w:val="00EC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1868A-2076-4857-8AC9-0B5311F4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Harshdeep Sharma</dc:creator>
  <cp:keywords/>
  <dc:description/>
  <cp:lastModifiedBy>Harshdeep Sharma</cp:lastModifiedBy>
  <cp:revision>2</cp:revision>
  <dcterms:created xsi:type="dcterms:W3CDTF">2026-04-18T05:22:00Z</dcterms:created>
  <dcterms:modified xsi:type="dcterms:W3CDTF">2026-04-18T05:22:00Z</dcterms:modified>
</cp:coreProperties>
</file>