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BE81" w14:textId="77777777" w:rsidR="00AF74FA" w:rsidRDefault="00AF74FA">
      <w:pPr>
        <w:spacing w:before="800" w:after="100"/>
      </w:pPr>
    </w:p>
    <w:p w14:paraId="7EF12A0F" w14:textId="77777777" w:rsidR="00AF74FA" w:rsidRDefault="00000000">
      <w:pPr>
        <w:spacing w:after="80"/>
        <w:jc w:val="center"/>
      </w:pPr>
      <w:r>
        <w:rPr>
          <w:b/>
          <w:bCs/>
          <w:caps/>
          <w:color w:val="1E3A5F"/>
        </w:rPr>
        <w:t>TECHNICAL RESEARCH REPORT</w:t>
      </w:r>
    </w:p>
    <w:p w14:paraId="04E7816E" w14:textId="77777777" w:rsidR="00AF74FA" w:rsidRDefault="00AF74FA">
      <w:pPr>
        <w:pBdr>
          <w:bottom w:val="single" w:sz="8" w:space="1" w:color="1E3A5F"/>
        </w:pBdr>
        <w:spacing w:before="80" w:after="200"/>
      </w:pPr>
    </w:p>
    <w:p w14:paraId="405D15BA" w14:textId="43689A52" w:rsidR="00AF74FA" w:rsidRDefault="00563E49">
      <w:pPr>
        <w:spacing w:before="240" w:after="120"/>
        <w:jc w:val="center"/>
      </w:pPr>
      <w:proofErr w:type="spellStart"/>
      <w:r>
        <w:rPr>
          <w:b/>
          <w:bCs/>
          <w:color w:val="1E3A5F"/>
          <w:sz w:val="42"/>
          <w:szCs w:val="42"/>
        </w:rPr>
        <w:t>Cognify</w:t>
      </w:r>
      <w:proofErr w:type="spellEnd"/>
      <w:r w:rsidR="00000000">
        <w:rPr>
          <w:b/>
          <w:bCs/>
          <w:color w:val="1E3A5F"/>
          <w:sz w:val="42"/>
          <w:szCs w:val="42"/>
        </w:rPr>
        <w:t>:</w:t>
      </w:r>
    </w:p>
    <w:p w14:paraId="4E176653" w14:textId="77777777" w:rsidR="00AF74FA" w:rsidRDefault="00000000">
      <w:pPr>
        <w:spacing w:after="120"/>
        <w:jc w:val="center"/>
      </w:pPr>
      <w:r>
        <w:rPr>
          <w:b/>
          <w:bCs/>
          <w:color w:val="1E3A5F"/>
          <w:sz w:val="40"/>
          <w:szCs w:val="40"/>
        </w:rPr>
        <w:t>An AI-Powered Research Paper</w:t>
      </w:r>
    </w:p>
    <w:p w14:paraId="72BD4B40" w14:textId="77777777" w:rsidR="00AF74FA" w:rsidRDefault="00000000">
      <w:pPr>
        <w:spacing w:after="320"/>
        <w:jc w:val="center"/>
      </w:pPr>
      <w:r>
        <w:rPr>
          <w:b/>
          <w:bCs/>
          <w:color w:val="1E3A5F"/>
          <w:sz w:val="40"/>
          <w:szCs w:val="40"/>
        </w:rPr>
        <w:t>Analyzer &amp; Literature Intelligence Engine</w:t>
      </w:r>
    </w:p>
    <w:p w14:paraId="62FCD2EE" w14:textId="77777777" w:rsidR="00AF74FA" w:rsidRDefault="00AF74FA">
      <w:pPr>
        <w:pBdr>
          <w:bottom w:val="single" w:sz="8" w:space="1" w:color="1E3A5F"/>
        </w:pBdr>
        <w:spacing w:before="80" w:after="200"/>
      </w:pPr>
    </w:p>
    <w:p w14:paraId="1834D7E5" w14:textId="77777777" w:rsidR="00AF74FA" w:rsidRDefault="00AF74FA">
      <w:pPr>
        <w:spacing w:before="200" w:after="100"/>
      </w:pPr>
    </w:p>
    <w:p w14:paraId="3E4B2117" w14:textId="77777777" w:rsidR="00AF74FA" w:rsidRDefault="00000000">
      <w:pPr>
        <w:spacing w:before="80" w:after="60"/>
        <w:jc w:val="center"/>
      </w:pPr>
      <w:r>
        <w:rPr>
          <w:i/>
          <w:iCs/>
          <w:color w:val="444444"/>
          <w:sz w:val="21"/>
          <w:szCs w:val="21"/>
        </w:rPr>
        <w:t>Submitted by</w:t>
      </w:r>
    </w:p>
    <w:p w14:paraId="63415255" w14:textId="3C204997" w:rsidR="00AF74FA" w:rsidRDefault="00000000">
      <w:pPr>
        <w:spacing w:before="60" w:after="60"/>
        <w:jc w:val="center"/>
      </w:pPr>
      <w:r>
        <w:rPr>
          <w:b/>
          <w:bCs/>
          <w:color w:val="000000"/>
          <w:sz w:val="23"/>
          <w:szCs w:val="23"/>
        </w:rPr>
        <w:t xml:space="preserve">Harsidak Singh </w:t>
      </w:r>
      <w:r w:rsidR="00563E49">
        <w:rPr>
          <w:b/>
          <w:bCs/>
          <w:color w:val="000000"/>
          <w:sz w:val="23"/>
          <w:szCs w:val="23"/>
        </w:rPr>
        <w:t xml:space="preserve">Banwait </w:t>
      </w:r>
      <w:proofErr w:type="gramStart"/>
      <w:r w:rsidR="00563E49">
        <w:rPr>
          <w:b/>
          <w:bCs/>
          <w:color w:val="000000"/>
          <w:sz w:val="23"/>
          <w:szCs w:val="23"/>
        </w:rPr>
        <w:t>•</w:t>
      </w:r>
      <w:r>
        <w:rPr>
          <w:b/>
          <w:bCs/>
          <w:color w:val="000000"/>
          <w:sz w:val="23"/>
          <w:szCs w:val="23"/>
        </w:rPr>
        <w:t xml:space="preserve">  Karun</w:t>
      </w:r>
      <w:r w:rsidR="005A6A7A">
        <w:rPr>
          <w:b/>
          <w:bCs/>
          <w:color w:val="000000"/>
          <w:sz w:val="23"/>
          <w:szCs w:val="23"/>
        </w:rPr>
        <w:t>i</w:t>
      </w:r>
      <w:r>
        <w:rPr>
          <w:b/>
          <w:bCs/>
          <w:color w:val="000000"/>
          <w:sz w:val="23"/>
          <w:szCs w:val="23"/>
        </w:rPr>
        <w:t>ka</w:t>
      </w:r>
      <w:proofErr w:type="gramEnd"/>
      <w:r>
        <w:rPr>
          <w:b/>
          <w:bCs/>
          <w:color w:val="000000"/>
          <w:sz w:val="23"/>
          <w:szCs w:val="23"/>
        </w:rPr>
        <w:t xml:space="preserve">  </w:t>
      </w:r>
      <w:proofErr w:type="gramStart"/>
      <w:r>
        <w:rPr>
          <w:b/>
          <w:bCs/>
          <w:color w:val="000000"/>
          <w:sz w:val="23"/>
          <w:szCs w:val="23"/>
        </w:rPr>
        <w:t>•  Anayat</w:t>
      </w:r>
      <w:proofErr w:type="gramEnd"/>
    </w:p>
    <w:p w14:paraId="5C00850F" w14:textId="77777777" w:rsidR="00AF74FA" w:rsidRDefault="00AF74FA">
      <w:pPr>
        <w:spacing w:before="160" w:after="100"/>
      </w:pPr>
    </w:p>
    <w:p w14:paraId="1AFD65CC" w14:textId="04FA1B43" w:rsidR="00AF74FA" w:rsidRDefault="00000000">
      <w:pPr>
        <w:spacing w:before="60" w:after="60"/>
        <w:jc w:val="center"/>
      </w:pPr>
      <w:r>
        <w:rPr>
          <w:color w:val="444444"/>
          <w:sz w:val="21"/>
          <w:szCs w:val="21"/>
        </w:rPr>
        <w:t xml:space="preserve">Evolve AI </w:t>
      </w:r>
      <w:r w:rsidR="003F49C4">
        <w:rPr>
          <w:color w:val="444444"/>
          <w:sz w:val="21"/>
          <w:szCs w:val="21"/>
        </w:rPr>
        <w:t>• Project</w:t>
      </w:r>
      <w:r>
        <w:rPr>
          <w:color w:val="444444"/>
          <w:sz w:val="21"/>
          <w:szCs w:val="21"/>
        </w:rPr>
        <w:t xml:space="preserve"> 1</w:t>
      </w:r>
    </w:p>
    <w:p w14:paraId="0636F251" w14:textId="77777777" w:rsidR="00AF74FA" w:rsidRDefault="00000000">
      <w:pPr>
        <w:spacing w:before="60" w:after="60"/>
        <w:jc w:val="center"/>
      </w:pPr>
      <w:r>
        <w:rPr>
          <w:color w:val="444444"/>
          <w:sz w:val="21"/>
          <w:szCs w:val="21"/>
        </w:rPr>
        <w:t>March 2026</w:t>
      </w:r>
    </w:p>
    <w:p w14:paraId="04FAD18A" w14:textId="77777777" w:rsidR="00AF74FA" w:rsidRDefault="00AF74FA">
      <w:pPr>
        <w:spacing w:before="600" w:after="100"/>
      </w:pPr>
    </w:p>
    <w:p w14:paraId="254552E2" w14:textId="77777777" w:rsidR="00AF74FA" w:rsidRDefault="00000000">
      <w:r>
        <w:br w:type="page"/>
      </w:r>
    </w:p>
    <w:p w14:paraId="6F8960F8" w14:textId="77777777" w:rsidR="00AF74FA" w:rsidRDefault="00000000">
      <w:pPr>
        <w:pStyle w:val="Heading1"/>
      </w:pPr>
      <w:r>
        <w:lastRenderedPageBreak/>
        <w:t>Abstract</w:t>
      </w:r>
    </w:p>
    <w:p w14:paraId="045A0521" w14:textId="77777777" w:rsidR="00AF74FA" w:rsidRDefault="00AF74FA">
      <w:pPr>
        <w:pBdr>
          <w:bottom w:val="single" w:sz="8" w:space="1" w:color="1E3A5F"/>
        </w:pBdr>
        <w:spacing w:before="80" w:after="200"/>
      </w:pPr>
    </w:p>
    <w:p w14:paraId="0C83805C" w14:textId="77777777" w:rsidR="00AF74FA" w:rsidRDefault="00000000">
      <w:pPr>
        <w:spacing w:before="60" w:after="120"/>
        <w:jc w:val="both"/>
      </w:pPr>
      <w:r>
        <w:rPr>
          <w:color w:val="000000"/>
        </w:rPr>
        <w:t xml:space="preserve">The exponential growth of academic publishing has created a critical information bottleneck for researchers and students who must synthesize findings across hundreds of dense, heterogeneous documents. This report presents </w:t>
      </w:r>
      <w:proofErr w:type="spellStart"/>
      <w:r>
        <w:rPr>
          <w:color w:val="000000"/>
        </w:rPr>
        <w:t>Cognify</w:t>
      </w:r>
      <w:proofErr w:type="spellEnd"/>
      <w:r>
        <w:rPr>
          <w:color w:val="000000"/>
        </w:rPr>
        <w:t>, a production-grade, AI-powered Research Paper Analyzer designed to eliminate the manual literature review bottleneck entirely. By combining a multi-modal PDF extraction pipeline (</w:t>
      </w:r>
      <w:proofErr w:type="spellStart"/>
      <w:r>
        <w:rPr>
          <w:color w:val="000000"/>
        </w:rPr>
        <w:t>MinerU</w:t>
      </w:r>
      <w:proofErr w:type="spellEnd"/>
      <w:r>
        <w:rPr>
          <w:color w:val="000000"/>
        </w:rPr>
        <w:t xml:space="preserve">, LayoutLMv3, YOLOv8), a dual-engine analytics layer (statistical via Pandas/NumPy and relational via </w:t>
      </w:r>
      <w:proofErr w:type="spellStart"/>
      <w:r>
        <w:rPr>
          <w:color w:val="000000"/>
        </w:rPr>
        <w:t>GraphRAG</w:t>
      </w:r>
      <w:proofErr w:type="spellEnd"/>
      <w:r>
        <w:rPr>
          <w:color w:val="000000"/>
        </w:rPr>
        <w:t xml:space="preserve"> with </w:t>
      </w:r>
      <w:proofErr w:type="spellStart"/>
      <w:r>
        <w:rPr>
          <w:color w:val="000000"/>
        </w:rPr>
        <w:t>Cognee</w:t>
      </w:r>
      <w:proofErr w:type="spellEnd"/>
      <w:r>
        <w:rPr>
          <w:color w:val="000000"/>
        </w:rPr>
        <w:t xml:space="preserve">), and a </w:t>
      </w:r>
      <w:proofErr w:type="spellStart"/>
      <w:r>
        <w:rPr>
          <w:color w:val="000000"/>
        </w:rPr>
        <w:t>Neumorphic</w:t>
      </w:r>
      <w:proofErr w:type="spellEnd"/>
      <w:r>
        <w:rPr>
          <w:color w:val="000000"/>
        </w:rPr>
        <w:t xml:space="preserve"> React dashboard with asynchronous job processing via Redis and Celery, </w:t>
      </w:r>
      <w:proofErr w:type="spellStart"/>
      <w:r>
        <w:rPr>
          <w:color w:val="000000"/>
        </w:rPr>
        <w:t>Cognify</w:t>
      </w:r>
      <w:proofErr w:type="spellEnd"/>
      <w:r>
        <w:rPr>
          <w:color w:val="000000"/>
        </w:rPr>
        <w:t xml:space="preserve"> transforms raw PDF uploads into structured, actionable research intelligence. The system performs TF-IDF keyword analysis, cosine similarity-based paper comparison, K-Means topic clustering, citation graph traversal, and deterministic contradiction detection. This report details the system's problem definition, architectural methodology, statistical foundations, known limitations, and future research directions. </w:t>
      </w:r>
      <w:proofErr w:type="spellStart"/>
      <w:r>
        <w:rPr>
          <w:color w:val="000000"/>
        </w:rPr>
        <w:t>Cognify</w:t>
      </w:r>
      <w:proofErr w:type="spellEnd"/>
      <w:r>
        <w:rPr>
          <w:color w:val="000000"/>
        </w:rPr>
        <w:t xml:space="preserve"> demonstrates that applied AI engineering and rigorous statistical analysis can fundamentally transform how knowledge is consumed.</w:t>
      </w:r>
    </w:p>
    <w:p w14:paraId="2BDFF3D5" w14:textId="77777777" w:rsidR="00AF74FA" w:rsidRDefault="00AF74FA">
      <w:pPr>
        <w:spacing w:before="200" w:after="100"/>
      </w:pPr>
    </w:p>
    <w:p w14:paraId="499A04E0" w14:textId="77777777" w:rsidR="00AF74FA" w:rsidRDefault="00000000">
      <w:pPr>
        <w:pStyle w:val="Heading1"/>
      </w:pPr>
      <w:r>
        <w:t>1. Problem Definition</w:t>
      </w:r>
    </w:p>
    <w:p w14:paraId="34B9DEB1" w14:textId="77777777" w:rsidR="00AF74FA" w:rsidRDefault="00AF74FA">
      <w:pPr>
        <w:pBdr>
          <w:bottom w:val="single" w:sz="8" w:space="1" w:color="1E3A5F"/>
        </w:pBdr>
        <w:spacing w:before="80" w:after="200"/>
      </w:pPr>
    </w:p>
    <w:p w14:paraId="59A0F38E" w14:textId="77777777" w:rsidR="00AF74FA" w:rsidRDefault="00000000">
      <w:pPr>
        <w:pStyle w:val="Heading2"/>
      </w:pPr>
      <w:r>
        <w:t>1.1 The Academic Information Bottleneck</w:t>
      </w:r>
    </w:p>
    <w:p w14:paraId="0EAC84D3" w14:textId="77777777" w:rsidR="00AF74FA" w:rsidRDefault="00000000">
      <w:pPr>
        <w:spacing w:before="60" w:after="120"/>
        <w:jc w:val="both"/>
      </w:pPr>
      <w:r>
        <w:rPr>
          <w:color w:val="000000"/>
        </w:rPr>
        <w:t xml:space="preserve">Academic publishing volume has grown at an unprecedented rate, with platforms like </w:t>
      </w:r>
      <w:proofErr w:type="spellStart"/>
      <w:r>
        <w:rPr>
          <w:color w:val="000000"/>
        </w:rPr>
        <w:t>arXiv</w:t>
      </w:r>
      <w:proofErr w:type="spellEnd"/>
      <w:r>
        <w:rPr>
          <w:color w:val="000000"/>
        </w:rPr>
        <w:t xml:space="preserve"> alone receiving over 20,000 new preprints per month across computer science, physics, and mathematics. While this proliferation represents a remarkable acceleration of human knowledge, it has introduced a severe operational paradox: the very abundance of information makes it harder, not easier, to extract insight. Researchers are expected to conduct thorough literature reviews, yet the manual process of reading, annotating, and cross-referencing dense PDFs is time-intensive, cognitively taxing, and fundamentally unscalable.</w:t>
      </w:r>
    </w:p>
    <w:p w14:paraId="0B705E42" w14:textId="77777777" w:rsidR="00AF74FA" w:rsidRDefault="00000000">
      <w:pPr>
        <w:spacing w:before="60" w:after="120"/>
        <w:jc w:val="both"/>
      </w:pPr>
      <w:r>
        <w:rPr>
          <w:color w:val="000000"/>
        </w:rPr>
        <w:t>The problem is compounded by the structural nature of the data itself. Research papers are delivered as PDF documents, a format optimized exclusively for visual presentation rather than machine readability. Standard extraction tools fail on multi-column academic layouts, break when encountering mathematical equations, and silently corrupt table row-column relationships. The result is that even automated tools built to help researchers often produce garbled, semantically meaningless text as their primary output.</w:t>
      </w:r>
    </w:p>
    <w:p w14:paraId="70DCC804" w14:textId="77777777" w:rsidR="00AF74FA" w:rsidRDefault="00000000">
      <w:pPr>
        <w:spacing w:before="60" w:after="120"/>
        <w:jc w:val="both"/>
      </w:pPr>
      <w:r>
        <w:rPr>
          <w:color w:val="000000"/>
        </w:rPr>
        <w:t xml:space="preserve">Furthermore, reading papers in isolation misses the broader intellectual context. Understanding whether a paper introduces a genuinely novel </w:t>
      </w:r>
      <w:proofErr w:type="gramStart"/>
      <w:r>
        <w:rPr>
          <w:color w:val="000000"/>
        </w:rPr>
        <w:t>methodology, or</w:t>
      </w:r>
      <w:proofErr w:type="gramEnd"/>
      <w:r>
        <w:rPr>
          <w:color w:val="000000"/>
        </w:rPr>
        <w:t xml:space="preserve"> simply replicates a prior approach on a different dataset, requires simultaneously </w:t>
      </w:r>
      <w:proofErr w:type="spellStart"/>
      <w:r>
        <w:rPr>
          <w:color w:val="000000"/>
        </w:rPr>
        <w:t>analyzing</w:t>
      </w:r>
      <w:proofErr w:type="spellEnd"/>
      <w:r>
        <w:rPr>
          <w:color w:val="000000"/>
        </w:rPr>
        <w:t xml:space="preserve"> and cross-referencing multiple documents. This task vastly exceeds human working memory and is simply not performed at the scale required for a complete literature review.</w:t>
      </w:r>
    </w:p>
    <w:p w14:paraId="60F22A93" w14:textId="77777777" w:rsidR="00AF74FA" w:rsidRDefault="00000000">
      <w:pPr>
        <w:pStyle w:val="Heading2"/>
      </w:pPr>
      <w:r>
        <w:t>1.2 System Objective</w:t>
      </w:r>
    </w:p>
    <w:p w14:paraId="4558439C" w14:textId="77777777" w:rsidR="00AF74FA" w:rsidRDefault="00000000">
      <w:pPr>
        <w:spacing w:before="60" w:after="120"/>
        <w:jc w:val="both"/>
      </w:pPr>
      <w:r>
        <w:rPr>
          <w:color w:val="000000"/>
        </w:rPr>
        <w:t xml:space="preserve">The primary objective of </w:t>
      </w:r>
      <w:proofErr w:type="spellStart"/>
      <w:r>
        <w:rPr>
          <w:color w:val="000000"/>
        </w:rPr>
        <w:t>Cognify</w:t>
      </w:r>
      <w:proofErr w:type="spellEnd"/>
      <w:r>
        <w:rPr>
          <w:color w:val="000000"/>
        </w:rPr>
        <w:t xml:space="preserve"> is to serve as an Automated Literature Intelligence Engine. Where a researcher might spend two weeks conducting a preliminary literature review, </w:t>
      </w:r>
      <w:proofErr w:type="spellStart"/>
      <w:r>
        <w:rPr>
          <w:color w:val="000000"/>
        </w:rPr>
        <w:t>Cognify</w:t>
      </w:r>
      <w:proofErr w:type="spellEnd"/>
      <w:r>
        <w:rPr>
          <w:color w:val="000000"/>
        </w:rPr>
        <w:t xml:space="preserve"> aims to deliver equivalent structured insight in seconds. The system pursues four core goals. </w:t>
      </w:r>
      <w:r>
        <w:rPr>
          <w:color w:val="000000"/>
        </w:rPr>
        <w:lastRenderedPageBreak/>
        <w:t xml:space="preserve">First, it provides automated, structure-aware extraction, converting unstructured, visually complex PDFs into clean, machine-readable data with full fidelity for equations, tables, and citations. Second, it performs semantic analysis that moves beyond naive keyword matching to understand the meaning, methodology, and relational structure of scientific text. Third, it delivers visual insight by transforming abstract statistical outputs, such as high-dimensional TF-IDF vectors, into intuitive interactive visualizations. Fourth, it offers deterministic AI reasoning by connecting a </w:t>
      </w:r>
      <w:proofErr w:type="spellStart"/>
      <w:r>
        <w:rPr>
          <w:color w:val="000000"/>
        </w:rPr>
        <w:t>GraphRAG</w:t>
      </w:r>
      <w:proofErr w:type="spellEnd"/>
      <w:r>
        <w:rPr>
          <w:color w:val="000000"/>
        </w:rPr>
        <w:t>-powered AI assistant to a Knowledge Graph, enabling citation-accurate, hallucination-free responses to researcher queries.</w:t>
      </w:r>
    </w:p>
    <w:p w14:paraId="66269B53" w14:textId="77777777" w:rsidR="00AF74FA" w:rsidRDefault="00AF74FA">
      <w:pPr>
        <w:spacing w:before="100" w:after="100"/>
      </w:pPr>
    </w:p>
    <w:p w14:paraId="7221AF51" w14:textId="77777777" w:rsidR="00AF74FA" w:rsidRDefault="00000000">
      <w:r>
        <w:br w:type="page"/>
      </w:r>
    </w:p>
    <w:p w14:paraId="114FB369" w14:textId="77777777" w:rsidR="00AF74FA" w:rsidRDefault="00000000">
      <w:pPr>
        <w:pStyle w:val="Heading1"/>
      </w:pPr>
      <w:r>
        <w:lastRenderedPageBreak/>
        <w:t>2. Methodology</w:t>
      </w:r>
    </w:p>
    <w:p w14:paraId="39A275B9" w14:textId="77777777" w:rsidR="00AF74FA" w:rsidRDefault="00AF74FA">
      <w:pPr>
        <w:pBdr>
          <w:bottom w:val="single" w:sz="8" w:space="1" w:color="1E3A5F"/>
        </w:pBdr>
        <w:spacing w:before="80" w:after="200"/>
      </w:pPr>
    </w:p>
    <w:p w14:paraId="288B04FD" w14:textId="77777777" w:rsidR="00AF74FA" w:rsidRDefault="00000000">
      <w:pPr>
        <w:spacing w:before="60" w:after="120"/>
        <w:jc w:val="both"/>
        <w:rPr>
          <w:color w:val="000000"/>
        </w:rPr>
      </w:pPr>
      <w:proofErr w:type="spellStart"/>
      <w:r>
        <w:rPr>
          <w:color w:val="000000"/>
        </w:rPr>
        <w:t>Cognify</w:t>
      </w:r>
      <w:proofErr w:type="spellEnd"/>
      <w:r>
        <w:rPr>
          <w:color w:val="000000"/>
        </w:rPr>
        <w:t xml:space="preserve"> is architected as a five-stage, fully decoupled data processing pipeline. Each stage is containerized via Docker Compose, meaning no single failure point can propagate to crash the broader system. This section traces the complete lifecycle of a research paper through the system.</w:t>
      </w:r>
    </w:p>
    <w:p w14:paraId="24657040" w14:textId="1917A5E1" w:rsidR="00F35C74" w:rsidRDefault="00F35C74">
      <w:pPr>
        <w:spacing w:before="60" w:after="120"/>
        <w:jc w:val="both"/>
      </w:pPr>
      <w:r w:rsidRPr="00F35C74">
        <w:rPr>
          <w:noProof/>
          <w:color w:val="000000"/>
        </w:rPr>
        <w:drawing>
          <wp:inline distT="0" distB="0" distL="0" distR="0" wp14:anchorId="3B4375EA" wp14:editId="57D65CD5">
            <wp:extent cx="5943600" cy="2695575"/>
            <wp:effectExtent l="0" t="0" r="0" b="9525"/>
            <wp:docPr id="17123734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3487"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2695575"/>
                    </a:xfrm>
                    <a:prstGeom prst="rect">
                      <a:avLst/>
                    </a:prstGeom>
                  </pic:spPr>
                </pic:pic>
              </a:graphicData>
            </a:graphic>
          </wp:inline>
        </w:drawing>
      </w:r>
    </w:p>
    <w:p w14:paraId="784B1C06" w14:textId="77777777" w:rsidR="00AF74FA" w:rsidRDefault="00000000">
      <w:pPr>
        <w:pStyle w:val="Heading2"/>
      </w:pPr>
      <w:r>
        <w:t>2.1 Stage 1 — Ingestion &amp; Security Validation</w:t>
      </w:r>
    </w:p>
    <w:p w14:paraId="747F0245" w14:textId="77777777" w:rsidR="00AF74FA" w:rsidRDefault="00000000">
      <w:pPr>
        <w:spacing w:before="60" w:after="120"/>
        <w:jc w:val="both"/>
      </w:pPr>
      <w:r>
        <w:rPr>
          <w:color w:val="000000"/>
        </w:rPr>
        <w:t xml:space="preserve">When a user uploads a PDF through the React frontend, the file payload arrives at a </w:t>
      </w:r>
      <w:proofErr w:type="spellStart"/>
      <w:r>
        <w:rPr>
          <w:color w:val="000000"/>
        </w:rPr>
        <w:t>FastAPI</w:t>
      </w:r>
      <w:proofErr w:type="spellEnd"/>
      <w:r>
        <w:rPr>
          <w:color w:val="000000"/>
        </w:rPr>
        <w:t xml:space="preserve"> endpoint (POST /</w:t>
      </w:r>
      <w:proofErr w:type="spellStart"/>
      <w:r>
        <w:rPr>
          <w:color w:val="000000"/>
        </w:rPr>
        <w:t>api</w:t>
      </w:r>
      <w:proofErr w:type="spellEnd"/>
      <w:r>
        <w:rPr>
          <w:color w:val="000000"/>
        </w:rPr>
        <w:t xml:space="preserve">/v1/upload). Before any compute-intensive processing begins, a defensive middleware layer opens the file at the byte level using </w:t>
      </w:r>
      <w:proofErr w:type="spellStart"/>
      <w:r>
        <w:rPr>
          <w:color w:val="000000"/>
        </w:rPr>
        <w:t>PyMuPDF</w:t>
      </w:r>
      <w:proofErr w:type="spellEnd"/>
      <w:r>
        <w:rPr>
          <w:color w:val="000000"/>
        </w:rPr>
        <w:t xml:space="preserve">. The validator checks whether the file is a genuine PDF structure (not an executable renamed with a .pdf extension), whether it is DRM-encrypted, and whether it contains a corrupted internal object stream. Invalid files are immediately rejected with a structured 422 </w:t>
      </w:r>
      <w:proofErr w:type="spellStart"/>
      <w:r>
        <w:rPr>
          <w:color w:val="000000"/>
        </w:rPr>
        <w:t>Unprocessable</w:t>
      </w:r>
      <w:proofErr w:type="spellEnd"/>
      <w:r>
        <w:rPr>
          <w:color w:val="000000"/>
        </w:rPr>
        <w:t xml:space="preserve"> Entity JSON response. Valid files are written to temporary blob storage and registered in a PostgreSQL database with a generated UUID and an initial status of PENDING. This gatekeeper design prevents malformed inputs from ever reaching the expensive AI processing pipeline.</w:t>
      </w:r>
    </w:p>
    <w:p w14:paraId="47870714" w14:textId="77777777" w:rsidR="00AF74FA" w:rsidRDefault="00000000">
      <w:pPr>
        <w:pStyle w:val="Heading2"/>
      </w:pPr>
      <w:r>
        <w:t>2.2 Stage 2 — Asynchronous Orchestration</w:t>
      </w:r>
    </w:p>
    <w:p w14:paraId="22276767" w14:textId="77777777" w:rsidR="00AF74FA" w:rsidRDefault="00000000">
      <w:pPr>
        <w:spacing w:before="60" w:after="120"/>
        <w:jc w:val="both"/>
      </w:pPr>
      <w:r>
        <w:rPr>
          <w:color w:val="000000"/>
        </w:rPr>
        <w:t xml:space="preserve">Rather than processing the PDF synchronously on the main API thread (which would block the server for minutes per upload), </w:t>
      </w:r>
      <w:proofErr w:type="spellStart"/>
      <w:r>
        <w:rPr>
          <w:color w:val="000000"/>
        </w:rPr>
        <w:t>FastAPI</w:t>
      </w:r>
      <w:proofErr w:type="spellEnd"/>
      <w:r>
        <w:rPr>
          <w:color w:val="000000"/>
        </w:rPr>
        <w:t xml:space="preserve"> immediately pushes a structured Job Ticket into a Redis message queue and returns a 202 Accepted HTTP response containing a </w:t>
      </w:r>
      <w:proofErr w:type="spellStart"/>
      <w:r>
        <w:rPr>
          <w:color w:val="000000"/>
        </w:rPr>
        <w:t>task_id</w:t>
      </w:r>
      <w:proofErr w:type="spellEnd"/>
      <w:r>
        <w:rPr>
          <w:color w:val="000000"/>
        </w:rPr>
        <w:t xml:space="preserve"> to the frontend within milliseconds. The main API server thread is instantly freed. In </w:t>
      </w:r>
      <w:proofErr w:type="gramStart"/>
      <w:r>
        <w:rPr>
          <w:color w:val="000000"/>
        </w:rPr>
        <w:t>a completely separate</w:t>
      </w:r>
      <w:proofErr w:type="gramEnd"/>
      <w:r>
        <w:rPr>
          <w:color w:val="000000"/>
        </w:rPr>
        <w:t xml:space="preserve"> Docker container, a Celery background worker monitors the Redis queue, detects the new job ticket, and begins all heavy NLP processing. This architecture ensures that dozens of simultaneous uploads do not degrade each other's performance, as each job is processed independently in isolated worker containers.</w:t>
      </w:r>
    </w:p>
    <w:p w14:paraId="5CB6ABCA" w14:textId="77777777" w:rsidR="00AF74FA" w:rsidRDefault="00000000">
      <w:pPr>
        <w:pStyle w:val="Heading2"/>
      </w:pPr>
      <w:r>
        <w:t>2.3 Stage 3 — Multi-Modal Data Extraction</w:t>
      </w:r>
    </w:p>
    <w:p w14:paraId="66E94843" w14:textId="77777777" w:rsidR="00AF74FA" w:rsidRDefault="00000000">
      <w:pPr>
        <w:spacing w:before="60" w:after="120"/>
        <w:jc w:val="both"/>
      </w:pPr>
      <w:r>
        <w:rPr>
          <w:color w:val="000000"/>
        </w:rPr>
        <w:lastRenderedPageBreak/>
        <w:t xml:space="preserve">This stage represents the core technical differentiator between </w:t>
      </w:r>
      <w:proofErr w:type="spellStart"/>
      <w:r>
        <w:rPr>
          <w:color w:val="000000"/>
        </w:rPr>
        <w:t>Cognify</w:t>
      </w:r>
      <w:proofErr w:type="spellEnd"/>
      <w:r>
        <w:rPr>
          <w:color w:val="000000"/>
        </w:rPr>
        <w:t xml:space="preserve"> and naive PDF text-scrapers. The Celery worker passes the validated PDF to </w:t>
      </w:r>
      <w:proofErr w:type="spellStart"/>
      <w:r>
        <w:rPr>
          <w:color w:val="000000"/>
        </w:rPr>
        <w:t>MinerU</w:t>
      </w:r>
      <w:proofErr w:type="spellEnd"/>
      <w:r>
        <w:rPr>
          <w:color w:val="000000"/>
        </w:rPr>
        <w:t xml:space="preserve">, an open-source extraction framework that uses computer vision models (LayoutLMv3 and YOLOv8) to visually parse the page layout before extracting any text. This means the system physically identifies column boundaries and reads text in correct top-to-bottom, left-to-right order within each column, completely avoiding the column-merging failure mode that plagues standard tools. Mathematical equations are detected and routed to </w:t>
      </w:r>
      <w:proofErr w:type="spellStart"/>
      <w:r>
        <w:rPr>
          <w:color w:val="000000"/>
        </w:rPr>
        <w:t>UniMERNet</w:t>
      </w:r>
      <w:proofErr w:type="spellEnd"/>
      <w:r>
        <w:rPr>
          <w:color w:val="000000"/>
        </w:rPr>
        <w:t xml:space="preserve"> for conversion into clean LaTeX strings. Tables are extracted into HTML or Markdown grids with row-column relationships fully intact. The resulting raw text is then passed through Google's </w:t>
      </w:r>
      <w:proofErr w:type="spellStart"/>
      <w:r>
        <w:rPr>
          <w:color w:val="000000"/>
        </w:rPr>
        <w:t>LangExtract</w:t>
      </w:r>
      <w:proofErr w:type="spellEnd"/>
      <w:r>
        <w:rPr>
          <w:color w:val="000000"/>
        </w:rPr>
        <w:t xml:space="preserve"> to enforce strict </w:t>
      </w:r>
      <w:proofErr w:type="spellStart"/>
      <w:r>
        <w:rPr>
          <w:color w:val="000000"/>
        </w:rPr>
        <w:t>Pydantic</w:t>
      </w:r>
      <w:proofErr w:type="spellEnd"/>
      <w:r>
        <w:rPr>
          <w:color w:val="000000"/>
        </w:rPr>
        <w:t xml:space="preserve"> schemas, producing deterministic JSON with fields such as authors, abstract, limitations, and methodology, where every extracted value is anchored to its source bounding box in the original PDF.</w:t>
      </w:r>
    </w:p>
    <w:p w14:paraId="1E86110D" w14:textId="77777777" w:rsidR="00AF74FA" w:rsidRDefault="00000000">
      <w:pPr>
        <w:pStyle w:val="Heading2"/>
      </w:pPr>
      <w:r>
        <w:t>2.4 Stage 4 — Dual-Engine Analytics</w:t>
      </w:r>
    </w:p>
    <w:p w14:paraId="1848E9FB" w14:textId="77777777" w:rsidR="00AF74FA" w:rsidRDefault="00000000">
      <w:pPr>
        <w:spacing w:before="60" w:after="120"/>
        <w:jc w:val="both"/>
      </w:pPr>
      <w:r>
        <w:rPr>
          <w:color w:val="000000"/>
        </w:rPr>
        <w:t xml:space="preserve">The clean, structured JSON from Stage 3 is simultaneously processed by two analytically distinct engines. The Statistical Engine uses Pandas and NumPy to perform all mathematical and lexical computations: TF-IDF vectorization, cosine similarity matrix construction, K-Means clustering, and keyword frequency analysis. Results are written to a PostgreSQL database in JSONB columns for immediate retrieval by the React charts. The Relational Engine passes the clean text through </w:t>
      </w:r>
      <w:proofErr w:type="spellStart"/>
      <w:r>
        <w:rPr>
          <w:color w:val="000000"/>
        </w:rPr>
        <w:t>Cognee's</w:t>
      </w:r>
      <w:proofErr w:type="spellEnd"/>
      <w:r>
        <w:rPr>
          <w:color w:val="000000"/>
        </w:rPr>
        <w:t xml:space="preserve"> Extract-</w:t>
      </w:r>
      <w:proofErr w:type="spellStart"/>
      <w:r>
        <w:rPr>
          <w:color w:val="000000"/>
        </w:rPr>
        <w:t>Cognify</w:t>
      </w:r>
      <w:proofErr w:type="spellEnd"/>
      <w:r>
        <w:rPr>
          <w:color w:val="000000"/>
        </w:rPr>
        <w:t xml:space="preserve">-Load pipeline, where an LLM reads the text and extracts precise semantic Triplets (for example, Paper A uses Metric Accuracy, or Author Jones cites Paper B). These Triplets are loaded into a Knowledge Graph stored in </w:t>
      </w:r>
      <w:proofErr w:type="spellStart"/>
      <w:r>
        <w:rPr>
          <w:color w:val="000000"/>
        </w:rPr>
        <w:t>NetworkX</w:t>
      </w:r>
      <w:proofErr w:type="spellEnd"/>
      <w:r>
        <w:rPr>
          <w:color w:val="000000"/>
        </w:rPr>
        <w:t xml:space="preserve"> (or Neo4j for production scale), while 512-token text chunks are simultaneously pushed as vector embeddings into a </w:t>
      </w:r>
      <w:proofErr w:type="spellStart"/>
      <w:r>
        <w:rPr>
          <w:color w:val="000000"/>
        </w:rPr>
        <w:t>LanceDB</w:t>
      </w:r>
      <w:proofErr w:type="spellEnd"/>
      <w:r>
        <w:rPr>
          <w:color w:val="000000"/>
        </w:rPr>
        <w:t xml:space="preserve"> semantic database. This dual-path architecture is the key to enabling both fast statistical dashboards and hallucination-free AI conversations.</w:t>
      </w:r>
    </w:p>
    <w:p w14:paraId="4044F5E2" w14:textId="77777777" w:rsidR="00AF74FA" w:rsidRDefault="00000000">
      <w:pPr>
        <w:pStyle w:val="Heading2"/>
      </w:pPr>
      <w:r>
        <w:t xml:space="preserve">2.5 Stage 5 — </w:t>
      </w:r>
      <w:proofErr w:type="spellStart"/>
      <w:r>
        <w:t>Neumorphic</w:t>
      </w:r>
      <w:proofErr w:type="spellEnd"/>
      <w:r>
        <w:t xml:space="preserve"> Presentation &amp; Real-Time Polling</w:t>
      </w:r>
    </w:p>
    <w:p w14:paraId="3099C5AE" w14:textId="77777777" w:rsidR="00AF74FA" w:rsidRDefault="00000000">
      <w:pPr>
        <w:spacing w:before="60" w:after="120"/>
        <w:jc w:val="both"/>
      </w:pPr>
      <w:r>
        <w:rPr>
          <w:color w:val="000000"/>
        </w:rPr>
        <w:t xml:space="preserve">From the moment the frontend receives the </w:t>
      </w:r>
      <w:proofErr w:type="spellStart"/>
      <w:r>
        <w:rPr>
          <w:color w:val="000000"/>
        </w:rPr>
        <w:t>task_id</w:t>
      </w:r>
      <w:proofErr w:type="spellEnd"/>
      <w:r>
        <w:rPr>
          <w:color w:val="000000"/>
        </w:rPr>
        <w:t xml:space="preserve"> in Stage 2, React Query silently polls the status endpoint every three seconds. Each poll returns the current processing state (PENDING, EXTRACTING_LAYOUT, ANALYZING, COMPLETE) along with a progress percentage. The </w:t>
      </w:r>
      <w:proofErr w:type="spellStart"/>
      <w:r>
        <w:rPr>
          <w:color w:val="000000"/>
        </w:rPr>
        <w:t>Neumorphic</w:t>
      </w:r>
      <w:proofErr w:type="spellEnd"/>
      <w:r>
        <w:rPr>
          <w:color w:val="000000"/>
        </w:rPr>
        <w:t xml:space="preserve"> UI reflects these states through soft, continuously animating ring spinners and descriptive sub-text, rather than jarring modal popups. When the status returns COMPLETE, the dashboard unlocks all analytical panels and activates the </w:t>
      </w:r>
      <w:proofErr w:type="spellStart"/>
      <w:r>
        <w:rPr>
          <w:color w:val="000000"/>
        </w:rPr>
        <w:t>GraphRAG</w:t>
      </w:r>
      <w:proofErr w:type="spellEnd"/>
      <w:r>
        <w:rPr>
          <w:color w:val="000000"/>
        </w:rPr>
        <w:t xml:space="preserve"> AI Assistant chat interface via </w:t>
      </w:r>
      <w:proofErr w:type="spellStart"/>
      <w:r>
        <w:rPr>
          <w:color w:val="000000"/>
        </w:rPr>
        <w:t>CopilotKit</w:t>
      </w:r>
      <w:proofErr w:type="spellEnd"/>
      <w:r>
        <w:rPr>
          <w:color w:val="000000"/>
        </w:rPr>
        <w:t>.</w:t>
      </w:r>
    </w:p>
    <w:p w14:paraId="1641713D" w14:textId="77777777" w:rsidR="00AF74FA" w:rsidRDefault="00AF74FA">
      <w:pPr>
        <w:spacing w:before="100" w:after="100"/>
      </w:pPr>
    </w:p>
    <w:p w14:paraId="67A20082" w14:textId="77777777" w:rsidR="00AF74FA" w:rsidRDefault="00000000">
      <w:r>
        <w:br w:type="page"/>
      </w:r>
    </w:p>
    <w:p w14:paraId="4CFA62C7" w14:textId="77777777" w:rsidR="00AF74FA" w:rsidRDefault="00000000">
      <w:pPr>
        <w:pStyle w:val="Heading1"/>
      </w:pPr>
      <w:r>
        <w:lastRenderedPageBreak/>
        <w:t>3. Statistical Techniques</w:t>
      </w:r>
    </w:p>
    <w:p w14:paraId="3CAC472E" w14:textId="77777777" w:rsidR="00AF74FA" w:rsidRDefault="00AF74FA">
      <w:pPr>
        <w:pBdr>
          <w:bottom w:val="single" w:sz="8" w:space="1" w:color="1E3A5F"/>
        </w:pBdr>
        <w:spacing w:before="80" w:after="200"/>
      </w:pPr>
    </w:p>
    <w:p w14:paraId="38339637" w14:textId="77777777" w:rsidR="00AF74FA" w:rsidRDefault="00000000">
      <w:pPr>
        <w:spacing w:before="60" w:after="120"/>
        <w:jc w:val="both"/>
      </w:pPr>
      <w:r>
        <w:rPr>
          <w:color w:val="000000"/>
        </w:rPr>
        <w:t xml:space="preserve">The analytical rigor of </w:t>
      </w:r>
      <w:proofErr w:type="spellStart"/>
      <w:r>
        <w:rPr>
          <w:color w:val="000000"/>
        </w:rPr>
        <w:t>Cognify</w:t>
      </w:r>
      <w:proofErr w:type="spellEnd"/>
      <w:r>
        <w:rPr>
          <w:color w:val="000000"/>
        </w:rPr>
        <w:t xml:space="preserve"> is grounded in well-established mathematical methods from the fields of information retrieval, linear algebra, and unsupervised machine learning. This section formally describes each technique and justifies its selection.</w:t>
      </w:r>
    </w:p>
    <w:p w14:paraId="2E16820A" w14:textId="77777777" w:rsidR="00AF74FA" w:rsidRDefault="00000000">
      <w:pPr>
        <w:pStyle w:val="Heading2"/>
      </w:pPr>
      <w:r>
        <w:t>3.1 TF-IDF Vectorization (Keyword Frequency Analysis)</w:t>
      </w:r>
    </w:p>
    <w:p w14:paraId="6D2EE4B7" w14:textId="77777777" w:rsidR="00975C49" w:rsidRDefault="00000000">
      <w:pPr>
        <w:spacing w:before="60" w:after="120"/>
        <w:jc w:val="both"/>
        <w:rPr>
          <w:color w:val="000000"/>
        </w:rPr>
      </w:pPr>
      <w:r>
        <w:rPr>
          <w:color w:val="000000"/>
        </w:rPr>
        <w:t xml:space="preserve">Term Frequency-Inverse Document Frequency (TF-IDF) is the foundational statistical technique for extracting meaningful keywords from each paper relative to the entire uploaded corpus. For a term t in document d across a corpus D, the score is computed as </w:t>
      </w:r>
    </w:p>
    <w:p w14:paraId="2AC27CF5" w14:textId="02408F6F" w:rsidR="00975C49" w:rsidRDefault="00975C49" w:rsidP="00975C49">
      <w:pPr>
        <w:spacing w:before="60" w:after="120"/>
        <w:ind w:left="2160" w:firstLine="720"/>
        <w:jc w:val="both"/>
        <w:rPr>
          <w:color w:val="000000"/>
        </w:rPr>
      </w:pPr>
      <m:oMath>
        <m:r>
          <w:rPr>
            <w:rFonts w:ascii="Cambria Math" w:hAnsi="Cambria Math"/>
            <w:color w:val="000000"/>
          </w:rPr>
          <m:t>TF-IDF(t, d, D) = TF(t, d) × IDF(t, D)</m:t>
        </m:r>
      </m:oMath>
      <w:r>
        <w:rPr>
          <w:color w:val="000000"/>
        </w:rPr>
        <w:t>,</w:t>
      </w:r>
    </w:p>
    <w:p w14:paraId="7047200A" w14:textId="77777777" w:rsidR="00975C49" w:rsidRDefault="00000000">
      <w:pPr>
        <w:spacing w:before="60" w:after="120"/>
        <w:jc w:val="both"/>
        <w:rPr>
          <w:color w:val="000000"/>
        </w:rPr>
      </w:pPr>
      <w:r>
        <w:rPr>
          <w:color w:val="000000"/>
        </w:rPr>
        <w:t xml:space="preserve">where </w:t>
      </w:r>
      <w:proofErr w:type="gramStart"/>
      <w:r>
        <w:rPr>
          <w:color w:val="000000"/>
        </w:rPr>
        <w:t>TF(</w:t>
      </w:r>
      <w:proofErr w:type="gramEnd"/>
      <w:r>
        <w:rPr>
          <w:color w:val="000000"/>
        </w:rPr>
        <w:t>t, d) = (count of t in d) / (total terms in d), and</w:t>
      </w:r>
    </w:p>
    <w:p w14:paraId="1E2AF66F" w14:textId="1AEC3A7B" w:rsidR="00975C49" w:rsidRDefault="00975C49">
      <w:pPr>
        <w:spacing w:before="60" w:after="120"/>
        <w:jc w:val="both"/>
        <w:rPr>
          <w:color w:val="000000"/>
        </w:rPr>
      </w:pPr>
      <m:oMathPara>
        <m:oMath>
          <m:r>
            <w:rPr>
              <w:rFonts w:ascii="Cambria Math" w:hAnsi="Cambria Math"/>
              <w:color w:val="000000"/>
            </w:rPr>
            <m:t xml:space="preserve"> IDF(t, D) = log(|D| / (1 + |{d ∈ D : t ∈ d}|))</m:t>
          </m:r>
        </m:oMath>
      </m:oMathPara>
    </w:p>
    <w:p w14:paraId="30878D1B" w14:textId="73A50E85" w:rsidR="00AF74FA" w:rsidRDefault="00000000">
      <w:pPr>
        <w:spacing w:before="60" w:after="120"/>
        <w:jc w:val="both"/>
      </w:pPr>
      <w:r>
        <w:rPr>
          <w:color w:val="000000"/>
        </w:rPr>
        <w:t>The logarithmic dampening in the IDF component is critical: it prevents high-frequency generic terms like the or method from dominating the output, while elevating domain-specific terms that appear frequently within a single paper but rarely across the broader corpus. In Cognify, Pandas is used to construct the term-document matrix and NumPy handles the vectorized mathematical operations, producing a keyword weight array (e.g., [{"keyword": "attention", "weight": 0.85}]) for each document that directly feeds the Trend and Saturation Analysis visualization.</w:t>
      </w:r>
    </w:p>
    <w:p w14:paraId="5B3D059F" w14:textId="77777777" w:rsidR="00AF74FA" w:rsidRDefault="00000000">
      <w:pPr>
        <w:pStyle w:val="Heading2"/>
      </w:pPr>
      <w:r>
        <w:t>3.2 Cosine Similarity (Paper-to-Paper Comparison)</w:t>
      </w:r>
    </w:p>
    <w:p w14:paraId="4E8A9CC7" w14:textId="77777777" w:rsidR="002462C4" w:rsidRDefault="00000000">
      <w:pPr>
        <w:spacing w:before="60" w:after="120"/>
        <w:jc w:val="both"/>
        <w:rPr>
          <w:color w:val="000000"/>
        </w:rPr>
      </w:pPr>
      <w:r>
        <w:rPr>
          <w:color w:val="000000"/>
        </w:rPr>
        <w:t>Once each paper is represented as a TF-IDF vector, the similarity between any two papers is computed as the cosine of the angle between their vector representations in the high-dimensional term space</w:t>
      </w:r>
    </w:p>
    <w:p w14:paraId="1540EAF9" w14:textId="69432651" w:rsidR="002462C4" w:rsidRDefault="002462C4">
      <w:pPr>
        <w:spacing w:before="60" w:after="120"/>
        <w:jc w:val="both"/>
        <w:rPr>
          <w:color w:val="000000"/>
        </w:rPr>
      </w:pPr>
      <m:oMathPara>
        <m:oMath>
          <m:r>
            <w:rPr>
              <w:rFonts w:ascii="Cambria Math" w:hAnsi="Cambria Math"/>
              <w:color w:val="000000"/>
            </w:rPr>
            <m:t xml:space="preserve"> similarity(A, B) = (A · B) / (‖A‖ ⌖B⌖)</m:t>
          </m:r>
        </m:oMath>
      </m:oMathPara>
    </w:p>
    <w:p w14:paraId="4F0D832C" w14:textId="35A1A4ED" w:rsidR="00AF74FA" w:rsidRDefault="00000000">
      <w:pPr>
        <w:spacing w:before="60" w:after="120"/>
        <w:jc w:val="both"/>
      </w:pPr>
      <w:r>
        <w:rPr>
          <w:color w:val="000000"/>
        </w:rPr>
        <w:t xml:space="preserve"> Cosine similarity is preferred over Euclidean distance for this application because it is magnitude-invariant: a long paper and a short paper covering the same topic will still receive a high similarity score, as the metric normalizes for document length. NumPy's matrix operations enable efficient computation of the full N×N similarity matrix, where N is the number of uploaded papers. The resulting matrix is visualized as a heatmap in the dashboard, allowing researchers to instantly identify closely related clusters of work.</w:t>
      </w:r>
    </w:p>
    <w:p w14:paraId="546E03BA" w14:textId="77777777" w:rsidR="00AF74FA" w:rsidRDefault="00000000">
      <w:pPr>
        <w:pStyle w:val="Heading2"/>
      </w:pPr>
      <w:r>
        <w:t>3.3 K-Means Topic Clustering</w:t>
      </w:r>
    </w:p>
    <w:p w14:paraId="1B91E11F" w14:textId="77777777" w:rsidR="00AF74FA" w:rsidRDefault="00000000">
      <w:pPr>
        <w:spacing w:before="60" w:after="120"/>
        <w:jc w:val="both"/>
      </w:pPr>
      <w:r>
        <w:rPr>
          <w:color w:val="000000"/>
        </w:rPr>
        <w:t xml:space="preserve">To automatically group papers into thematic clusters without human supervision, the system applies K-Means clustering to the TF-IDF vector space. The algorithm initializes K centroids and iteratively assigns each paper to its nearest centroid, then recomputes centroids as the mean of all assigned papers, until convergence. </w:t>
      </w:r>
      <w:proofErr w:type="spellStart"/>
      <w:r>
        <w:rPr>
          <w:color w:val="000000"/>
        </w:rPr>
        <w:t>Cognify</w:t>
      </w:r>
      <w:proofErr w:type="spellEnd"/>
      <w:r>
        <w:rPr>
          <w:color w:val="000000"/>
        </w:rPr>
        <w:t xml:space="preserve"> implements this directly using NumPy arrays rather than relying on higher-level libraries, satisfying the project's requirement for transparent statistical implementation. The choice of K is guided by the Elbow Method, which plots within-cluster sum of squares (WCSS) against K and identifies the inflection point. This produces the Research Topography visualization: a 2D scatter plot (projected via PCA from the high-dimensional TF-IDF space) where each cluster represents a distinct research topic, and the empty space between clusters represents unexplored research intersections.</w:t>
      </w:r>
    </w:p>
    <w:p w14:paraId="467620FA" w14:textId="77777777" w:rsidR="00AF74FA" w:rsidRDefault="00000000">
      <w:pPr>
        <w:pStyle w:val="Heading2"/>
      </w:pPr>
      <w:r>
        <w:lastRenderedPageBreak/>
        <w:t xml:space="preserve">3.4 </w:t>
      </w:r>
      <w:proofErr w:type="spellStart"/>
      <w:r>
        <w:t>GraphRAG</w:t>
      </w:r>
      <w:proofErr w:type="spellEnd"/>
      <w:r>
        <w:t xml:space="preserve"> Knowledge Graph (Citation and Contradiction Analysis)</w:t>
      </w:r>
    </w:p>
    <w:p w14:paraId="3CDBF1EF" w14:textId="77777777" w:rsidR="00AF74FA" w:rsidRDefault="00000000">
      <w:pPr>
        <w:spacing w:before="60" w:after="120"/>
        <w:jc w:val="both"/>
      </w:pPr>
      <w:r>
        <w:rPr>
          <w:color w:val="000000"/>
        </w:rPr>
        <w:t xml:space="preserve">Beyond statistical text analysis, </w:t>
      </w:r>
      <w:proofErr w:type="spellStart"/>
      <w:r>
        <w:rPr>
          <w:color w:val="000000"/>
        </w:rPr>
        <w:t>Cognify</w:t>
      </w:r>
      <w:proofErr w:type="spellEnd"/>
      <w:r>
        <w:rPr>
          <w:color w:val="000000"/>
        </w:rPr>
        <w:t xml:space="preserve"> employs a fundamentally different paradigm for citation and contradiction detection: graph-theoretic reasoning over a structured Knowledge Graph. </w:t>
      </w:r>
      <w:proofErr w:type="spellStart"/>
      <w:r>
        <w:rPr>
          <w:color w:val="000000"/>
        </w:rPr>
        <w:t>Cognee</w:t>
      </w:r>
      <w:proofErr w:type="spellEnd"/>
      <w:r>
        <w:rPr>
          <w:color w:val="000000"/>
        </w:rPr>
        <w:t xml:space="preserve"> extracts semantic Triplets (Subject, Relation, Object) from the text using a language model guided by </w:t>
      </w:r>
      <w:proofErr w:type="spellStart"/>
      <w:r>
        <w:rPr>
          <w:color w:val="000000"/>
        </w:rPr>
        <w:t>DSPy</w:t>
      </w:r>
      <w:proofErr w:type="spellEnd"/>
      <w:r>
        <w:rPr>
          <w:color w:val="000000"/>
        </w:rPr>
        <w:t xml:space="preserve">-defined schemas. These Triplets are loaded into </w:t>
      </w:r>
      <w:proofErr w:type="spellStart"/>
      <w:r>
        <w:rPr>
          <w:color w:val="000000"/>
        </w:rPr>
        <w:t>NetworkX</w:t>
      </w:r>
      <w:proofErr w:type="spellEnd"/>
      <w:r>
        <w:rPr>
          <w:color w:val="000000"/>
        </w:rPr>
        <w:t xml:space="preserve"> and form a traversable directed graph. Citation analysis is performed by executing graph traversal queries that identify which external papers are referenced most frequently across the uploaded corpus (the Citation Roots feature). Contradiction detection is performed by querying for nodes connected by conflicting relational edges: for example, if Paper A contains the Triplet (fine-tuning, INCREASES, accuracy) and Paper B contains (fine-tuning, CAUSES, </w:t>
      </w:r>
      <w:proofErr w:type="spellStart"/>
      <w:r>
        <w:rPr>
          <w:color w:val="000000"/>
        </w:rPr>
        <w:t>catastrophic_forgetting</w:t>
      </w:r>
      <w:proofErr w:type="spellEnd"/>
      <w:r>
        <w:rPr>
          <w:color w:val="000000"/>
        </w:rPr>
        <w:t>), the graph structure makes this conflict algebraically visible without any heuristic similarity matching.</w:t>
      </w:r>
    </w:p>
    <w:p w14:paraId="5CDD32DE" w14:textId="77777777" w:rsidR="00AF74FA" w:rsidRDefault="00AF74F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F74FA" w14:paraId="31049B61" w14:textId="77777777">
        <w:tc>
          <w:tcPr>
            <w:tcW w:w="2340" w:type="dxa"/>
            <w:tcBorders>
              <w:top w:val="single" w:sz="1" w:space="0" w:color="AABDD1"/>
              <w:left w:val="single" w:sz="1" w:space="0" w:color="AABDD1"/>
              <w:bottom w:val="single" w:sz="1" w:space="0" w:color="AABDD1"/>
              <w:right w:val="single" w:sz="1" w:space="0" w:color="AABDD1"/>
            </w:tcBorders>
            <w:shd w:val="clear" w:color="auto" w:fill="1E3A5F"/>
            <w:tcMar>
              <w:top w:w="80" w:type="dxa"/>
              <w:left w:w="140" w:type="dxa"/>
              <w:bottom w:w="80" w:type="dxa"/>
              <w:right w:w="140" w:type="dxa"/>
            </w:tcMar>
            <w:vAlign w:val="center"/>
          </w:tcPr>
          <w:p w14:paraId="2CF54EB5" w14:textId="77777777" w:rsidR="00AF74FA" w:rsidRDefault="00000000">
            <w:r>
              <w:rPr>
                <w:b/>
                <w:bCs/>
                <w:color w:val="FFFFFF"/>
                <w:sz w:val="20"/>
                <w:szCs w:val="20"/>
              </w:rPr>
              <w:t>Technique</w:t>
            </w:r>
          </w:p>
        </w:tc>
        <w:tc>
          <w:tcPr>
            <w:tcW w:w="2340" w:type="dxa"/>
            <w:tcBorders>
              <w:top w:val="single" w:sz="1" w:space="0" w:color="AABDD1"/>
              <w:left w:val="single" w:sz="1" w:space="0" w:color="AABDD1"/>
              <w:bottom w:val="single" w:sz="1" w:space="0" w:color="AABDD1"/>
              <w:right w:val="single" w:sz="1" w:space="0" w:color="AABDD1"/>
            </w:tcBorders>
            <w:shd w:val="clear" w:color="auto" w:fill="1E3A5F"/>
            <w:tcMar>
              <w:top w:w="80" w:type="dxa"/>
              <w:left w:w="140" w:type="dxa"/>
              <w:bottom w:w="80" w:type="dxa"/>
              <w:right w:w="140" w:type="dxa"/>
            </w:tcMar>
            <w:vAlign w:val="center"/>
          </w:tcPr>
          <w:p w14:paraId="59D94A59" w14:textId="77777777" w:rsidR="00AF74FA" w:rsidRDefault="00000000">
            <w:r>
              <w:rPr>
                <w:b/>
                <w:bCs/>
                <w:color w:val="FFFFFF"/>
                <w:sz w:val="20"/>
                <w:szCs w:val="20"/>
              </w:rPr>
              <w:t>Purpose</w:t>
            </w:r>
          </w:p>
        </w:tc>
        <w:tc>
          <w:tcPr>
            <w:tcW w:w="2340" w:type="dxa"/>
            <w:tcBorders>
              <w:top w:val="single" w:sz="1" w:space="0" w:color="AABDD1"/>
              <w:left w:val="single" w:sz="1" w:space="0" w:color="AABDD1"/>
              <w:bottom w:val="single" w:sz="1" w:space="0" w:color="AABDD1"/>
              <w:right w:val="single" w:sz="1" w:space="0" w:color="AABDD1"/>
            </w:tcBorders>
            <w:shd w:val="clear" w:color="auto" w:fill="1E3A5F"/>
            <w:tcMar>
              <w:top w:w="80" w:type="dxa"/>
              <w:left w:w="140" w:type="dxa"/>
              <w:bottom w:w="80" w:type="dxa"/>
              <w:right w:w="140" w:type="dxa"/>
            </w:tcMar>
            <w:vAlign w:val="center"/>
          </w:tcPr>
          <w:p w14:paraId="000614F3" w14:textId="77777777" w:rsidR="00AF74FA" w:rsidRDefault="00000000">
            <w:r>
              <w:rPr>
                <w:b/>
                <w:bCs/>
                <w:color w:val="FFFFFF"/>
                <w:sz w:val="20"/>
                <w:szCs w:val="20"/>
              </w:rPr>
              <w:t>Library</w:t>
            </w:r>
          </w:p>
        </w:tc>
        <w:tc>
          <w:tcPr>
            <w:tcW w:w="2340" w:type="dxa"/>
            <w:tcBorders>
              <w:top w:val="single" w:sz="1" w:space="0" w:color="AABDD1"/>
              <w:left w:val="single" w:sz="1" w:space="0" w:color="AABDD1"/>
              <w:bottom w:val="single" w:sz="1" w:space="0" w:color="AABDD1"/>
              <w:right w:val="single" w:sz="1" w:space="0" w:color="AABDD1"/>
            </w:tcBorders>
            <w:shd w:val="clear" w:color="auto" w:fill="1E3A5F"/>
            <w:tcMar>
              <w:top w:w="80" w:type="dxa"/>
              <w:left w:w="140" w:type="dxa"/>
              <w:bottom w:w="80" w:type="dxa"/>
              <w:right w:w="140" w:type="dxa"/>
            </w:tcMar>
            <w:vAlign w:val="center"/>
          </w:tcPr>
          <w:p w14:paraId="045E4EE0" w14:textId="77777777" w:rsidR="00AF74FA" w:rsidRDefault="00000000">
            <w:r>
              <w:rPr>
                <w:b/>
                <w:bCs/>
                <w:color w:val="FFFFFF"/>
                <w:sz w:val="20"/>
                <w:szCs w:val="20"/>
              </w:rPr>
              <w:t>Complexity</w:t>
            </w:r>
          </w:p>
        </w:tc>
      </w:tr>
      <w:tr w:rsidR="00AF74FA" w14:paraId="0C7D7C1F" w14:textId="77777777">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18C99B9F" w14:textId="77777777" w:rsidR="00AF74FA" w:rsidRDefault="00000000">
            <w:r>
              <w:rPr>
                <w:color w:val="000000"/>
                <w:sz w:val="20"/>
                <w:szCs w:val="20"/>
              </w:rPr>
              <w:t>TF-IDF Vectorization</w:t>
            </w:r>
          </w:p>
        </w:tc>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0963D9B0" w14:textId="77777777" w:rsidR="00AF74FA" w:rsidRDefault="00000000">
            <w:r>
              <w:rPr>
                <w:color w:val="000000"/>
                <w:sz w:val="20"/>
                <w:szCs w:val="20"/>
              </w:rPr>
              <w:t>Keyword extraction &amp; weighting</w:t>
            </w:r>
          </w:p>
        </w:tc>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56A2EDE2" w14:textId="77777777" w:rsidR="00AF74FA" w:rsidRDefault="00000000">
            <w:r>
              <w:rPr>
                <w:color w:val="000000"/>
                <w:sz w:val="20"/>
                <w:szCs w:val="20"/>
              </w:rPr>
              <w:t>Pandas + NumPy</w:t>
            </w:r>
          </w:p>
        </w:tc>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438CD2BD" w14:textId="77777777" w:rsidR="00AF74FA" w:rsidRDefault="00000000">
            <w:r>
              <w:rPr>
                <w:color w:val="000000"/>
                <w:sz w:val="20"/>
                <w:szCs w:val="20"/>
              </w:rPr>
              <w:t>O(N×V)</w:t>
            </w:r>
          </w:p>
        </w:tc>
      </w:tr>
      <w:tr w:rsidR="00AF74FA" w14:paraId="5181235C" w14:textId="77777777">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450F7479" w14:textId="77777777" w:rsidR="00AF74FA" w:rsidRDefault="00000000">
            <w:r>
              <w:rPr>
                <w:color w:val="000000"/>
                <w:sz w:val="20"/>
                <w:szCs w:val="20"/>
              </w:rPr>
              <w:t>Cosine Similarity</w:t>
            </w:r>
          </w:p>
        </w:tc>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7CF41D2C" w14:textId="77777777" w:rsidR="00AF74FA" w:rsidRDefault="00000000">
            <w:r>
              <w:rPr>
                <w:color w:val="000000"/>
                <w:sz w:val="20"/>
                <w:szCs w:val="20"/>
              </w:rPr>
              <w:t>Paper-to-paper comparison</w:t>
            </w:r>
          </w:p>
        </w:tc>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3C100B4F" w14:textId="77777777" w:rsidR="00AF74FA" w:rsidRDefault="00000000">
            <w:r>
              <w:rPr>
                <w:color w:val="000000"/>
                <w:sz w:val="20"/>
                <w:szCs w:val="20"/>
              </w:rPr>
              <w:t>NumPy</w:t>
            </w:r>
          </w:p>
        </w:tc>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4E8EA5F2" w14:textId="77777777" w:rsidR="00AF74FA" w:rsidRDefault="00000000">
            <w:r>
              <w:rPr>
                <w:color w:val="000000"/>
                <w:sz w:val="20"/>
                <w:szCs w:val="20"/>
              </w:rPr>
              <w:t>O(N²)</w:t>
            </w:r>
          </w:p>
        </w:tc>
      </w:tr>
      <w:tr w:rsidR="00AF74FA" w14:paraId="66B438F3" w14:textId="77777777">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62365038" w14:textId="77777777" w:rsidR="00AF74FA" w:rsidRDefault="00000000">
            <w:r>
              <w:rPr>
                <w:color w:val="000000"/>
                <w:sz w:val="20"/>
                <w:szCs w:val="20"/>
              </w:rPr>
              <w:t>K-Means Clustering</w:t>
            </w:r>
          </w:p>
        </w:tc>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58B05F57" w14:textId="77777777" w:rsidR="00AF74FA" w:rsidRDefault="00000000">
            <w:r>
              <w:rPr>
                <w:color w:val="000000"/>
                <w:sz w:val="20"/>
                <w:szCs w:val="20"/>
              </w:rPr>
              <w:t>Topic grouping</w:t>
            </w:r>
          </w:p>
        </w:tc>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01467522" w14:textId="77777777" w:rsidR="00AF74FA" w:rsidRDefault="00000000">
            <w:r>
              <w:rPr>
                <w:color w:val="000000"/>
                <w:sz w:val="20"/>
                <w:szCs w:val="20"/>
              </w:rPr>
              <w:t>NumPy</w:t>
            </w:r>
          </w:p>
        </w:tc>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07085BBE" w14:textId="77777777" w:rsidR="00AF74FA" w:rsidRDefault="00000000">
            <w:r>
              <w:rPr>
                <w:color w:val="000000"/>
                <w:sz w:val="20"/>
                <w:szCs w:val="20"/>
              </w:rPr>
              <w:t>O(N×K×I)</w:t>
            </w:r>
          </w:p>
        </w:tc>
      </w:tr>
      <w:tr w:rsidR="00AF74FA" w14:paraId="591F22B9" w14:textId="77777777">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2AF9BF12" w14:textId="77777777" w:rsidR="00AF74FA" w:rsidRDefault="00000000">
            <w:r>
              <w:rPr>
                <w:color w:val="000000"/>
                <w:sz w:val="20"/>
                <w:szCs w:val="20"/>
              </w:rPr>
              <w:t>PCA Projection</w:t>
            </w:r>
          </w:p>
        </w:tc>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4A23F034" w14:textId="77777777" w:rsidR="00AF74FA" w:rsidRDefault="00000000">
            <w:r>
              <w:rPr>
                <w:color w:val="000000"/>
                <w:sz w:val="20"/>
                <w:szCs w:val="20"/>
              </w:rPr>
              <w:t>2D scatter visualization</w:t>
            </w:r>
          </w:p>
        </w:tc>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5FC2CC7C" w14:textId="77777777" w:rsidR="00AF74FA" w:rsidRDefault="00000000">
            <w:r>
              <w:rPr>
                <w:color w:val="000000"/>
                <w:sz w:val="20"/>
                <w:szCs w:val="20"/>
              </w:rPr>
              <w:t>NumPy</w:t>
            </w:r>
          </w:p>
        </w:tc>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4F2BA9D5" w14:textId="77777777" w:rsidR="00AF74FA" w:rsidRDefault="00000000">
            <w:r>
              <w:rPr>
                <w:color w:val="000000"/>
                <w:sz w:val="20"/>
                <w:szCs w:val="20"/>
              </w:rPr>
              <w:t>O(N²)</w:t>
            </w:r>
          </w:p>
        </w:tc>
      </w:tr>
      <w:tr w:rsidR="00AF74FA" w14:paraId="64550834" w14:textId="77777777">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1A8404F3" w14:textId="77777777" w:rsidR="00AF74FA" w:rsidRDefault="00000000">
            <w:proofErr w:type="spellStart"/>
            <w:r>
              <w:rPr>
                <w:color w:val="000000"/>
                <w:sz w:val="20"/>
                <w:szCs w:val="20"/>
              </w:rPr>
              <w:t>GraphRAG</w:t>
            </w:r>
            <w:proofErr w:type="spellEnd"/>
            <w:r>
              <w:rPr>
                <w:color w:val="000000"/>
                <w:sz w:val="20"/>
                <w:szCs w:val="20"/>
              </w:rPr>
              <w:t xml:space="preserve"> / Triplets</w:t>
            </w:r>
          </w:p>
        </w:tc>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55BEADC6" w14:textId="77777777" w:rsidR="00AF74FA" w:rsidRDefault="00000000">
            <w:r>
              <w:rPr>
                <w:color w:val="000000"/>
                <w:sz w:val="20"/>
                <w:szCs w:val="20"/>
              </w:rPr>
              <w:t>Citation &amp; contradiction analysis</w:t>
            </w:r>
          </w:p>
        </w:tc>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0F1D7A6C" w14:textId="77777777" w:rsidR="00AF74FA" w:rsidRDefault="00000000">
            <w:proofErr w:type="spellStart"/>
            <w:r>
              <w:rPr>
                <w:color w:val="000000"/>
                <w:sz w:val="20"/>
                <w:szCs w:val="20"/>
              </w:rPr>
              <w:t>Cognee</w:t>
            </w:r>
            <w:proofErr w:type="spellEnd"/>
            <w:r>
              <w:rPr>
                <w:color w:val="000000"/>
                <w:sz w:val="20"/>
                <w:szCs w:val="20"/>
              </w:rPr>
              <w:t xml:space="preserve"> + </w:t>
            </w:r>
            <w:proofErr w:type="spellStart"/>
            <w:r>
              <w:rPr>
                <w:color w:val="000000"/>
                <w:sz w:val="20"/>
                <w:szCs w:val="20"/>
              </w:rPr>
              <w:t>NetworkX</w:t>
            </w:r>
            <w:proofErr w:type="spellEnd"/>
          </w:p>
        </w:tc>
        <w:tc>
          <w:tcPr>
            <w:tcW w:w="2340" w:type="dxa"/>
            <w:tcBorders>
              <w:top w:val="single" w:sz="1" w:space="0" w:color="AABDD1"/>
              <w:left w:val="single" w:sz="1" w:space="0" w:color="AABDD1"/>
              <w:bottom w:val="single" w:sz="1" w:space="0" w:color="AABDD1"/>
              <w:right w:val="single" w:sz="1" w:space="0" w:color="AABDD1"/>
            </w:tcBorders>
            <w:shd w:val="clear" w:color="auto" w:fill="EAF0F8"/>
            <w:tcMar>
              <w:top w:w="80" w:type="dxa"/>
              <w:left w:w="140" w:type="dxa"/>
              <w:bottom w:w="80" w:type="dxa"/>
              <w:right w:w="140" w:type="dxa"/>
            </w:tcMar>
          </w:tcPr>
          <w:p w14:paraId="78EE2D84" w14:textId="77777777" w:rsidR="00AF74FA" w:rsidRDefault="00000000">
            <w:r>
              <w:rPr>
                <w:color w:val="000000"/>
                <w:sz w:val="20"/>
                <w:szCs w:val="20"/>
              </w:rPr>
              <w:t>O(E+V)</w:t>
            </w:r>
          </w:p>
        </w:tc>
      </w:tr>
      <w:tr w:rsidR="00AF74FA" w14:paraId="55F1ADEE" w14:textId="77777777">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2D28986C" w14:textId="77777777" w:rsidR="00AF74FA" w:rsidRDefault="00000000">
            <w:r>
              <w:rPr>
                <w:color w:val="000000"/>
                <w:sz w:val="20"/>
                <w:szCs w:val="20"/>
              </w:rPr>
              <w:t>HNSW Indexing</w:t>
            </w:r>
          </w:p>
        </w:tc>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096C1F6F" w14:textId="77777777" w:rsidR="00AF74FA" w:rsidRDefault="00000000">
            <w:r>
              <w:rPr>
                <w:color w:val="000000"/>
                <w:sz w:val="20"/>
                <w:szCs w:val="20"/>
              </w:rPr>
              <w:t>Fast approximate vector search</w:t>
            </w:r>
          </w:p>
        </w:tc>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13FEA1A5" w14:textId="77777777" w:rsidR="00AF74FA" w:rsidRDefault="00000000">
            <w:proofErr w:type="spellStart"/>
            <w:r>
              <w:rPr>
                <w:color w:val="000000"/>
                <w:sz w:val="20"/>
                <w:szCs w:val="20"/>
              </w:rPr>
              <w:t>LanceDB</w:t>
            </w:r>
            <w:proofErr w:type="spellEnd"/>
          </w:p>
        </w:tc>
        <w:tc>
          <w:tcPr>
            <w:tcW w:w="2340" w:type="dxa"/>
            <w:tcBorders>
              <w:top w:val="single" w:sz="1" w:space="0" w:color="AABDD1"/>
              <w:left w:val="single" w:sz="1" w:space="0" w:color="AABDD1"/>
              <w:bottom w:val="single" w:sz="1" w:space="0" w:color="AABDD1"/>
              <w:right w:val="single" w:sz="1" w:space="0" w:color="AABDD1"/>
            </w:tcBorders>
            <w:shd w:val="clear" w:color="auto" w:fill="FFFFFF"/>
            <w:tcMar>
              <w:top w:w="80" w:type="dxa"/>
              <w:left w:w="140" w:type="dxa"/>
              <w:bottom w:w="80" w:type="dxa"/>
              <w:right w:w="140" w:type="dxa"/>
            </w:tcMar>
          </w:tcPr>
          <w:p w14:paraId="2A8BF2E3" w14:textId="77777777" w:rsidR="00AF74FA" w:rsidRDefault="00000000">
            <w:proofErr w:type="gramStart"/>
            <w:r>
              <w:rPr>
                <w:color w:val="000000"/>
                <w:sz w:val="20"/>
                <w:szCs w:val="20"/>
              </w:rPr>
              <w:t>O(</w:t>
            </w:r>
            <w:proofErr w:type="gramEnd"/>
            <w:r>
              <w:rPr>
                <w:color w:val="000000"/>
                <w:sz w:val="20"/>
                <w:szCs w:val="20"/>
              </w:rPr>
              <w:t>N log N)</w:t>
            </w:r>
          </w:p>
        </w:tc>
      </w:tr>
    </w:tbl>
    <w:p w14:paraId="33AA5788" w14:textId="77777777" w:rsidR="00AF74FA" w:rsidRDefault="00000000">
      <w:pPr>
        <w:spacing w:before="60" w:after="120"/>
        <w:jc w:val="both"/>
      </w:pPr>
      <w:r>
        <w:rPr>
          <w:i/>
          <w:iCs/>
          <w:color w:val="444444"/>
        </w:rPr>
        <w:t xml:space="preserve">Table 1. Summary of statistical and analytical techniques employed in </w:t>
      </w:r>
      <w:proofErr w:type="spellStart"/>
      <w:r>
        <w:rPr>
          <w:i/>
          <w:iCs/>
          <w:color w:val="444444"/>
        </w:rPr>
        <w:t>Cognify</w:t>
      </w:r>
      <w:proofErr w:type="spellEnd"/>
      <w:r>
        <w:rPr>
          <w:i/>
          <w:iCs/>
          <w:color w:val="444444"/>
        </w:rPr>
        <w:t>.</w:t>
      </w:r>
    </w:p>
    <w:p w14:paraId="28ECCE9B" w14:textId="77777777" w:rsidR="00AF74FA" w:rsidRDefault="00AF74FA">
      <w:pPr>
        <w:spacing w:before="100" w:after="100"/>
      </w:pPr>
    </w:p>
    <w:p w14:paraId="1FBECDC1" w14:textId="77777777" w:rsidR="00AF74FA" w:rsidRDefault="00000000">
      <w:r>
        <w:br w:type="page"/>
      </w:r>
    </w:p>
    <w:p w14:paraId="75E8167D" w14:textId="77777777" w:rsidR="00AF74FA" w:rsidRDefault="00000000">
      <w:pPr>
        <w:pStyle w:val="Heading1"/>
      </w:pPr>
      <w:r>
        <w:lastRenderedPageBreak/>
        <w:t>4. Assumptions Made</w:t>
      </w:r>
    </w:p>
    <w:p w14:paraId="63B3AE26" w14:textId="77777777" w:rsidR="00AF74FA" w:rsidRDefault="00AF74FA">
      <w:pPr>
        <w:pBdr>
          <w:bottom w:val="single" w:sz="8" w:space="1" w:color="1E3A5F"/>
        </w:pBdr>
        <w:spacing w:before="80" w:after="200"/>
      </w:pPr>
    </w:p>
    <w:p w14:paraId="7F2CC1A4" w14:textId="77777777" w:rsidR="00AF74FA" w:rsidRDefault="00000000">
      <w:pPr>
        <w:spacing w:before="60" w:after="120"/>
        <w:jc w:val="both"/>
      </w:pPr>
      <w:r>
        <w:rPr>
          <w:color w:val="000000"/>
        </w:rPr>
        <w:t>Every system design is predicated on a set of foundational assumptions. Making these explicit is essential for correctly interpreting the system's outputs and understanding its boundaries of validity.</w:t>
      </w:r>
    </w:p>
    <w:p w14:paraId="730DA89C" w14:textId="77777777" w:rsidR="00AF74FA" w:rsidRDefault="00000000">
      <w:pPr>
        <w:spacing w:before="60" w:after="120"/>
        <w:jc w:val="both"/>
      </w:pPr>
      <w:r>
        <w:rPr>
          <w:color w:val="000000"/>
        </w:rPr>
        <w:t xml:space="preserve">The first and most significant assumption is that uploaded documents are standard research papers conforming to broadly conventional academic layouts. The </w:t>
      </w:r>
      <w:proofErr w:type="spellStart"/>
      <w:r>
        <w:rPr>
          <w:color w:val="000000"/>
        </w:rPr>
        <w:t>MinerU</w:t>
      </w:r>
      <w:proofErr w:type="spellEnd"/>
      <w:r>
        <w:rPr>
          <w:color w:val="000000"/>
        </w:rPr>
        <w:t xml:space="preserve"> extraction pipeline is trained and optimized for structured scientific documents with identifiable components such as abstracts, section headings, body text, and reference lists. Documents that are purely scanned images (bitmap-only PDFs with no underlying text layer), hand-written manuscripts, or highly unconventional poster-format papers may produce degraded extraction quality.</w:t>
      </w:r>
    </w:p>
    <w:p w14:paraId="6E0A6892" w14:textId="77777777" w:rsidR="00AF74FA" w:rsidRDefault="00000000">
      <w:pPr>
        <w:spacing w:before="60" w:after="120"/>
        <w:jc w:val="both"/>
      </w:pPr>
      <w:r>
        <w:rPr>
          <w:color w:val="000000"/>
        </w:rPr>
        <w:t>The second assumption concerns language: the system's TF-IDF, cosine similarity, and clustering pipelines are designed for English-language corpora. While the extraction engines can physically extract text from papers in other languages, the stop-word removal and tokenization preprocessing steps are tuned for English morphology, meaning keyword weights will be less meaningful for non-English papers.</w:t>
      </w:r>
    </w:p>
    <w:p w14:paraId="205AABA4" w14:textId="77777777" w:rsidR="00AF74FA" w:rsidRDefault="00000000">
      <w:pPr>
        <w:spacing w:before="60" w:after="120"/>
        <w:jc w:val="both"/>
      </w:pPr>
      <w:r>
        <w:rPr>
          <w:color w:val="000000"/>
        </w:rPr>
        <w:t>The third assumption is statistical: K-Means clustering assumes that the natural topic structure of the uploaded papers can be meaningfully approximated by spherical clusters in TF-IDF vector space. In practice, research paper topics often have non-convex distributions, meaning papers on the boundary between two fields may be assigned to one cluster somewhat arbitrarily. The Elbow Method selection of K mitigates but does not eliminate this effect.</w:t>
      </w:r>
    </w:p>
    <w:p w14:paraId="51777D22" w14:textId="77777777" w:rsidR="00AF74FA" w:rsidRDefault="00000000">
      <w:pPr>
        <w:spacing w:before="60" w:after="120"/>
        <w:jc w:val="both"/>
      </w:pPr>
      <w:r>
        <w:rPr>
          <w:color w:val="000000"/>
        </w:rPr>
        <w:t>The fourth assumption is computational: the local-first architecture is optimized for research batches of up to approximately 50 papers in a single session. Cosine similarity computation scales as O(N²), meaning that at 50 papers the operation completes in milliseconds, but at 500 papers the quadratic growth begins to produce noticeable latency. The production architecture addresses this through HNSW approximate nearest-</w:t>
      </w:r>
      <w:proofErr w:type="spellStart"/>
      <w:r>
        <w:rPr>
          <w:color w:val="000000"/>
        </w:rPr>
        <w:t>neighbor</w:t>
      </w:r>
      <w:proofErr w:type="spellEnd"/>
      <w:r>
        <w:rPr>
          <w:color w:val="000000"/>
        </w:rPr>
        <w:t xml:space="preserve"> indexing in </w:t>
      </w:r>
      <w:proofErr w:type="spellStart"/>
      <w:r>
        <w:rPr>
          <w:color w:val="000000"/>
        </w:rPr>
        <w:t>LanceDB</w:t>
      </w:r>
      <w:proofErr w:type="spellEnd"/>
      <w:r>
        <w:rPr>
          <w:color w:val="000000"/>
        </w:rPr>
        <w:t>, but the local development environment still operates under this constraint.</w:t>
      </w:r>
    </w:p>
    <w:p w14:paraId="700850EC" w14:textId="77777777" w:rsidR="00AF74FA" w:rsidRDefault="00000000">
      <w:pPr>
        <w:spacing w:before="60" w:after="120"/>
        <w:jc w:val="both"/>
      </w:pPr>
      <w:r>
        <w:rPr>
          <w:color w:val="000000"/>
        </w:rPr>
        <w:t xml:space="preserve">The fifth assumption concerns the </w:t>
      </w:r>
      <w:proofErr w:type="spellStart"/>
      <w:r>
        <w:rPr>
          <w:color w:val="000000"/>
        </w:rPr>
        <w:t>GraphRAG</w:t>
      </w:r>
      <w:proofErr w:type="spellEnd"/>
      <w:r>
        <w:rPr>
          <w:color w:val="000000"/>
        </w:rPr>
        <w:t xml:space="preserve"> Triplet extraction: the quality of contradiction detection and citation mapping depends on the accuracy of the underlying LLM in correctly identifying semantic Triplets. While </w:t>
      </w:r>
      <w:proofErr w:type="spellStart"/>
      <w:r>
        <w:rPr>
          <w:color w:val="000000"/>
        </w:rPr>
        <w:t>Cognee's</w:t>
      </w:r>
      <w:proofErr w:type="spellEnd"/>
      <w:r>
        <w:rPr>
          <w:color w:val="000000"/>
        </w:rPr>
        <w:t xml:space="preserve"> </w:t>
      </w:r>
      <w:proofErr w:type="spellStart"/>
      <w:r>
        <w:rPr>
          <w:color w:val="000000"/>
        </w:rPr>
        <w:t>DSPy</w:t>
      </w:r>
      <w:proofErr w:type="spellEnd"/>
      <w:r>
        <w:rPr>
          <w:color w:val="000000"/>
        </w:rPr>
        <w:t>-guided extraction is more precise than naive RAG, the LLM may occasionally miss implicit contradictions that require domain expertise to recognize.</w:t>
      </w:r>
    </w:p>
    <w:p w14:paraId="0A156A32" w14:textId="77777777" w:rsidR="00AF74FA" w:rsidRDefault="00AF74FA">
      <w:pPr>
        <w:spacing w:before="100" w:after="100"/>
      </w:pPr>
    </w:p>
    <w:p w14:paraId="7297A866" w14:textId="77777777" w:rsidR="00AF74FA" w:rsidRDefault="00000000">
      <w:pPr>
        <w:pStyle w:val="Heading1"/>
      </w:pPr>
      <w:r>
        <w:t>5. Limitations</w:t>
      </w:r>
    </w:p>
    <w:p w14:paraId="3F243FA6" w14:textId="77777777" w:rsidR="00AF74FA" w:rsidRDefault="00AF74FA">
      <w:pPr>
        <w:pBdr>
          <w:bottom w:val="single" w:sz="8" w:space="1" w:color="1E3A5F"/>
        </w:pBdr>
        <w:spacing w:before="80" w:after="200"/>
      </w:pPr>
    </w:p>
    <w:p w14:paraId="6CAAA10A" w14:textId="77777777" w:rsidR="00AF74FA" w:rsidRDefault="00000000">
      <w:pPr>
        <w:pStyle w:val="Heading2"/>
      </w:pPr>
      <w:r>
        <w:t>5.1 Quadratic Similarity Complexity</w:t>
      </w:r>
    </w:p>
    <w:p w14:paraId="68F0DF63" w14:textId="77777777" w:rsidR="00AF74FA" w:rsidRDefault="00000000">
      <w:pPr>
        <w:spacing w:before="60" w:after="120"/>
        <w:jc w:val="both"/>
      </w:pPr>
      <w:r>
        <w:rPr>
          <w:color w:val="000000"/>
        </w:rPr>
        <w:t xml:space="preserve">The most structurally significant limitation is the O(N²) computational complexity of the full cosine similarity matrix. For a user uploading 20 papers, the system computes 400 pairwise comparisons, which is trivially fast. However, scaling to 200 papers requires 40,000 comparisons, and 2,000 papers requires 4,000,000. While the production architecture includes HNSW vector indexing to approximate nearest </w:t>
      </w:r>
      <w:proofErr w:type="spellStart"/>
      <w:r>
        <w:rPr>
          <w:color w:val="000000"/>
        </w:rPr>
        <w:t>neighbors</w:t>
      </w:r>
      <w:proofErr w:type="spellEnd"/>
      <w:r>
        <w:rPr>
          <w:color w:val="000000"/>
        </w:rPr>
        <w:t xml:space="preserve"> in </w:t>
      </w:r>
      <w:proofErr w:type="gramStart"/>
      <w:r>
        <w:rPr>
          <w:color w:val="000000"/>
        </w:rPr>
        <w:t>O(</w:t>
      </w:r>
      <w:proofErr w:type="gramEnd"/>
      <w:r>
        <w:rPr>
          <w:color w:val="000000"/>
        </w:rPr>
        <w:t xml:space="preserve">N log N), the exact full-matrix computation </w:t>
      </w:r>
      <w:r>
        <w:rPr>
          <w:color w:val="000000"/>
        </w:rPr>
        <w:lastRenderedPageBreak/>
        <w:t>required for the similarity heatmap visualization remains quadratic. This places a practical ceiling on session-level corpus size.</w:t>
      </w:r>
    </w:p>
    <w:p w14:paraId="7BB6C263" w14:textId="77777777" w:rsidR="00AF74FA" w:rsidRDefault="00000000">
      <w:pPr>
        <w:pStyle w:val="Heading2"/>
      </w:pPr>
      <w:r>
        <w:t>5.2 OCR Quality Dependency</w:t>
      </w:r>
    </w:p>
    <w:p w14:paraId="2D4C3F9C" w14:textId="77777777" w:rsidR="00AF74FA" w:rsidRDefault="00000000">
      <w:pPr>
        <w:spacing w:before="60" w:after="120"/>
        <w:jc w:val="both"/>
      </w:pPr>
      <w:r>
        <w:rPr>
          <w:color w:val="000000"/>
        </w:rPr>
        <w:t xml:space="preserve">The extraction quality of </w:t>
      </w:r>
      <w:proofErr w:type="spellStart"/>
      <w:r>
        <w:rPr>
          <w:color w:val="000000"/>
        </w:rPr>
        <w:t>MinerU</w:t>
      </w:r>
      <w:proofErr w:type="spellEnd"/>
      <w:r>
        <w:rPr>
          <w:color w:val="000000"/>
        </w:rPr>
        <w:t xml:space="preserve"> is fundamentally bounded by the underlying PDF quality. Papers that are scanned at low DPI, contain heavy watermarks, or use non-standard academic fonts may produce degraded text. Although the system includes a fallback chain to Mistral OCR and </w:t>
      </w:r>
      <w:proofErr w:type="spellStart"/>
      <w:r>
        <w:rPr>
          <w:color w:val="000000"/>
        </w:rPr>
        <w:t>LlamaParse</w:t>
      </w:r>
      <w:proofErr w:type="spellEnd"/>
      <w:r>
        <w:rPr>
          <w:color w:val="000000"/>
        </w:rPr>
        <w:t xml:space="preserve"> Premium for such cases, these fallbacks introduce API latency and potential cost in production deployments.</w:t>
      </w:r>
    </w:p>
    <w:p w14:paraId="61311006" w14:textId="77777777" w:rsidR="00AF74FA" w:rsidRDefault="00000000">
      <w:pPr>
        <w:pStyle w:val="Heading2"/>
      </w:pPr>
      <w:r>
        <w:t>5.3 K-Means Cluster Instability</w:t>
      </w:r>
    </w:p>
    <w:p w14:paraId="3240938B" w14:textId="77777777" w:rsidR="00AF74FA" w:rsidRDefault="00000000">
      <w:pPr>
        <w:spacing w:before="60" w:after="120"/>
        <w:jc w:val="both"/>
      </w:pPr>
      <w:r>
        <w:rPr>
          <w:color w:val="000000"/>
        </w:rPr>
        <w:t>K-Means clustering is a non-deterministic algorithm: different random centroid initializations can produce different cluster assignments even for identical input data. While the system uses K-Means++ initialization to reduce this variance, small corpora (under approximately 8 papers) may produce unstable or trivially meaningful clusters. The Elbow Method also becomes unreliable when N is small, making automated K selection less trustworthy.</w:t>
      </w:r>
    </w:p>
    <w:p w14:paraId="7268FB68" w14:textId="77777777" w:rsidR="00AF74FA" w:rsidRDefault="00000000">
      <w:pPr>
        <w:pStyle w:val="Heading2"/>
      </w:pPr>
      <w:r>
        <w:t xml:space="preserve">5.4 LLM-Dependent </w:t>
      </w:r>
      <w:proofErr w:type="spellStart"/>
      <w:r>
        <w:t>GraphRAG</w:t>
      </w:r>
      <w:proofErr w:type="spellEnd"/>
      <w:r>
        <w:t xml:space="preserve"> Accuracy</w:t>
      </w:r>
    </w:p>
    <w:p w14:paraId="4081C2A9" w14:textId="77777777" w:rsidR="00AF74FA" w:rsidRDefault="00000000">
      <w:pPr>
        <w:spacing w:before="60" w:after="120"/>
        <w:jc w:val="both"/>
      </w:pPr>
      <w:r>
        <w:rPr>
          <w:color w:val="000000"/>
        </w:rPr>
        <w:t xml:space="preserve">The </w:t>
      </w:r>
      <w:proofErr w:type="spellStart"/>
      <w:r>
        <w:rPr>
          <w:color w:val="000000"/>
        </w:rPr>
        <w:t>Cognee</w:t>
      </w:r>
      <w:proofErr w:type="spellEnd"/>
      <w:r>
        <w:rPr>
          <w:color w:val="000000"/>
        </w:rPr>
        <w:t xml:space="preserve"> pipeline depends on an LLM (via OpenAI or a locally hosted model via Ollama) for Triplet extraction. This creates a dependency that introduces two risks. First, the system requires either an active internet connection or a locally hosted model, adding infrastructure complexity. Second, the accuracy of contradiction detection and citation root identification is bounded by the LLM's ability to correctly parse scientific claims, which can degrade for papers using dense mathematical notation or highly domain-specific jargon.</w:t>
      </w:r>
    </w:p>
    <w:p w14:paraId="4D15AD3A" w14:textId="77777777" w:rsidR="00AF74FA" w:rsidRDefault="00000000">
      <w:pPr>
        <w:pStyle w:val="Heading2"/>
      </w:pPr>
      <w:r>
        <w:t>5.5 Bias in Similarity Recommendations</w:t>
      </w:r>
    </w:p>
    <w:p w14:paraId="53A3701F" w14:textId="77777777" w:rsidR="00AF74FA" w:rsidRDefault="00000000">
      <w:pPr>
        <w:spacing w:before="60" w:after="120"/>
        <w:jc w:val="both"/>
      </w:pPr>
      <w:r>
        <w:rPr>
          <w:color w:val="000000"/>
        </w:rPr>
        <w:t>If the uploaded corpus is not representative of a field (for example, if a user uploads only papers from a single research group), the TF-IDF vectors will be biased toward the vocabulary of that group. The cosine similarity scores will therefore artificially rank papers from different groups as dissimilar, even if their underlying methods are equivalent. This is an inherent limitation of corpus-relative statistical methods rather than a flaw in the implementation.</w:t>
      </w:r>
    </w:p>
    <w:p w14:paraId="40113E3D" w14:textId="77777777" w:rsidR="00AF74FA" w:rsidRDefault="00AF74FA">
      <w:pPr>
        <w:spacing w:before="100" w:after="100"/>
      </w:pPr>
    </w:p>
    <w:p w14:paraId="708D6FFE" w14:textId="77777777" w:rsidR="00AF74FA" w:rsidRDefault="00000000">
      <w:r>
        <w:br w:type="page"/>
      </w:r>
    </w:p>
    <w:p w14:paraId="7D0E4833" w14:textId="77777777" w:rsidR="00AF74FA" w:rsidRDefault="00000000">
      <w:pPr>
        <w:pStyle w:val="Heading1"/>
      </w:pPr>
      <w:r>
        <w:lastRenderedPageBreak/>
        <w:t>6. Possible Improvements</w:t>
      </w:r>
    </w:p>
    <w:p w14:paraId="27F4C025" w14:textId="77777777" w:rsidR="00AF74FA" w:rsidRDefault="00AF74FA">
      <w:pPr>
        <w:pBdr>
          <w:bottom w:val="single" w:sz="8" w:space="1" w:color="1E3A5F"/>
        </w:pBdr>
        <w:spacing w:before="80" w:after="200"/>
      </w:pPr>
    </w:p>
    <w:p w14:paraId="737C0967" w14:textId="77777777" w:rsidR="00AF74FA" w:rsidRDefault="00000000">
      <w:pPr>
        <w:spacing w:before="60" w:after="120"/>
        <w:jc w:val="both"/>
      </w:pPr>
      <w:r>
        <w:rPr>
          <w:color w:val="000000"/>
        </w:rPr>
        <w:t>The current architecture provides a strong foundation, but several high-value extensions are within near-term engineering reach.</w:t>
      </w:r>
    </w:p>
    <w:p w14:paraId="7881BCEF" w14:textId="77777777" w:rsidR="00AF74FA" w:rsidRDefault="00000000">
      <w:pPr>
        <w:spacing w:before="60" w:after="100"/>
        <w:jc w:val="both"/>
      </w:pPr>
      <w:r>
        <w:rPr>
          <w:b/>
          <w:bCs/>
          <w:color w:val="1E3A5F"/>
        </w:rPr>
        <w:t xml:space="preserve">Approximate Nearest </w:t>
      </w:r>
      <w:proofErr w:type="spellStart"/>
      <w:r>
        <w:rPr>
          <w:b/>
          <w:bCs/>
          <w:color w:val="1E3A5F"/>
        </w:rPr>
        <w:t>Neighbor</w:t>
      </w:r>
      <w:proofErr w:type="spellEnd"/>
      <w:r>
        <w:rPr>
          <w:b/>
          <w:bCs/>
          <w:color w:val="1E3A5F"/>
        </w:rPr>
        <w:t xml:space="preserve"> Scaling:  </w:t>
      </w:r>
      <w:r>
        <w:rPr>
          <w:color w:val="000000"/>
        </w:rPr>
        <w:t xml:space="preserve">Replacing the full N² similarity matrix with an HNSW (Hierarchical Navigable Small World) graph index, already available in </w:t>
      </w:r>
      <w:proofErr w:type="spellStart"/>
      <w:r>
        <w:rPr>
          <w:color w:val="000000"/>
        </w:rPr>
        <w:t>LanceDB</w:t>
      </w:r>
      <w:proofErr w:type="spellEnd"/>
      <w:r>
        <w:rPr>
          <w:color w:val="000000"/>
        </w:rPr>
        <w:t xml:space="preserve">, would reduce similarity lookups from O(N²) to </w:t>
      </w:r>
      <w:proofErr w:type="gramStart"/>
      <w:r>
        <w:rPr>
          <w:color w:val="000000"/>
        </w:rPr>
        <w:t>O(</w:t>
      </w:r>
      <w:proofErr w:type="gramEnd"/>
      <w:r>
        <w:rPr>
          <w:color w:val="000000"/>
        </w:rPr>
        <w:t>N log N) without meaningfully degrading recommendation quality. This single optimization would extend practical session corpus size from ~50 papers to potentially 5,000+ papers.</w:t>
      </w:r>
    </w:p>
    <w:p w14:paraId="243A1B3B" w14:textId="77777777" w:rsidR="00AF74FA" w:rsidRDefault="00000000">
      <w:pPr>
        <w:spacing w:before="60" w:after="100"/>
        <w:jc w:val="both"/>
      </w:pPr>
      <w:r>
        <w:rPr>
          <w:b/>
          <w:bCs/>
          <w:color w:val="1E3A5F"/>
        </w:rPr>
        <w:t xml:space="preserve">Automated Abstract Summarization:  </w:t>
      </w:r>
      <w:r>
        <w:rPr>
          <w:color w:val="000000"/>
        </w:rPr>
        <w:t>Integrating a lightweight local summarization model (such as a fine-tuned BART or Mistral-7B) into the Celery worker pipeline would allow the dashboard to display a concise, human-readable summary of each paper's core contribution alongside the statistical metrics, dramatically improving researcher usability.</w:t>
      </w:r>
    </w:p>
    <w:p w14:paraId="64336A64" w14:textId="77777777" w:rsidR="00AF74FA" w:rsidRDefault="00000000">
      <w:pPr>
        <w:spacing w:before="60" w:after="100"/>
        <w:jc w:val="both"/>
      </w:pPr>
      <w:r>
        <w:rPr>
          <w:b/>
          <w:bCs/>
          <w:color w:val="1E3A5F"/>
        </w:rPr>
        <w:t xml:space="preserve">Cross-Session Knowledge Accumulation:  </w:t>
      </w:r>
      <w:r>
        <w:rPr>
          <w:color w:val="000000"/>
        </w:rPr>
        <w:t>Currently, each upload session creates an independent knowledge graph. A future extension would allow users to build a persistent research library that accumulates across sessions, enabling the system to detect when a newly uploaded paper contradicts a finding from a paper uploaded six months prior.</w:t>
      </w:r>
    </w:p>
    <w:p w14:paraId="238574DE" w14:textId="77777777" w:rsidR="00AF74FA" w:rsidRDefault="00000000">
      <w:pPr>
        <w:spacing w:before="60" w:after="100"/>
        <w:jc w:val="both"/>
      </w:pPr>
      <w:r>
        <w:rPr>
          <w:b/>
          <w:bCs/>
          <w:color w:val="1E3A5F"/>
        </w:rPr>
        <w:t xml:space="preserve">Real-Time WebSocket Progress Streaming:  </w:t>
      </w:r>
      <w:r>
        <w:rPr>
          <w:color w:val="000000"/>
        </w:rPr>
        <w:t xml:space="preserve">The current polling mechanism checks status every three seconds, creating a maximum latency of three seconds between a stage transition and the UI update. Replacing polling with </w:t>
      </w:r>
      <w:proofErr w:type="spellStart"/>
      <w:r>
        <w:rPr>
          <w:color w:val="000000"/>
        </w:rPr>
        <w:t>FastAPI</w:t>
      </w:r>
      <w:proofErr w:type="spellEnd"/>
      <w:r>
        <w:rPr>
          <w:color w:val="000000"/>
        </w:rPr>
        <w:t xml:space="preserve"> WebSocket connections would enable instantaneous, event-driven progress updates (e.g., '47% - Extracting table on page 12'), creating a significantly more responsive user experience.</w:t>
      </w:r>
    </w:p>
    <w:p w14:paraId="51E129C3" w14:textId="77777777" w:rsidR="00AF74FA" w:rsidRDefault="00000000">
      <w:pPr>
        <w:spacing w:before="60" w:after="100"/>
        <w:jc w:val="both"/>
      </w:pPr>
      <w:r>
        <w:rPr>
          <w:b/>
          <w:bCs/>
          <w:color w:val="1E3A5F"/>
        </w:rPr>
        <w:t xml:space="preserve">Bias Detection Module:  </w:t>
      </w:r>
      <w:r>
        <w:rPr>
          <w:color w:val="000000"/>
        </w:rPr>
        <w:t>A dedicated analysis module could compute the Jaccard similarity between the vocabulary distributions of individual papers and the full corpus, flagging potential corpus bias to the user before they draw conclusions from the similarity recommendations.</w:t>
      </w:r>
    </w:p>
    <w:p w14:paraId="460BF1C2" w14:textId="77777777" w:rsidR="00AF74FA" w:rsidRDefault="00000000">
      <w:pPr>
        <w:spacing w:before="60" w:after="100"/>
        <w:jc w:val="both"/>
      </w:pPr>
      <w:r>
        <w:rPr>
          <w:b/>
          <w:bCs/>
          <w:color w:val="1E3A5F"/>
        </w:rPr>
        <w:t xml:space="preserve">Collaborative Multi-User Sessions:  </w:t>
      </w:r>
      <w:r>
        <w:rPr>
          <w:color w:val="000000"/>
        </w:rPr>
        <w:t>Extending the architecture with user authentication and shared project spaces would allow research teams to collaboratively build and annotate a shared knowledge graph, with each team member's annotations persisting as graph edges visible to the full team.</w:t>
      </w:r>
    </w:p>
    <w:p w14:paraId="53468A19" w14:textId="77777777" w:rsidR="00AF74FA" w:rsidRDefault="00AF74FA">
      <w:pPr>
        <w:spacing w:before="100" w:after="100"/>
      </w:pPr>
    </w:p>
    <w:p w14:paraId="1C08C173" w14:textId="7710AAA9" w:rsidR="001A2073" w:rsidRDefault="001A2073">
      <w:pPr>
        <w:spacing w:before="100" w:after="100"/>
      </w:pPr>
    </w:p>
    <w:p w14:paraId="7832EFDD" w14:textId="77777777" w:rsidR="001A2073" w:rsidRDefault="001A2073">
      <w:pPr>
        <w:spacing w:before="100" w:after="100"/>
      </w:pPr>
    </w:p>
    <w:p w14:paraId="1CF36F1C" w14:textId="77777777" w:rsidR="001A2073" w:rsidRDefault="001A2073">
      <w:pPr>
        <w:spacing w:before="100" w:after="100"/>
      </w:pPr>
    </w:p>
    <w:p w14:paraId="3AA64416" w14:textId="77777777" w:rsidR="001A2073" w:rsidRDefault="001A2073">
      <w:pPr>
        <w:spacing w:before="100" w:after="100"/>
      </w:pPr>
    </w:p>
    <w:p w14:paraId="5B7BD240" w14:textId="77777777" w:rsidR="001A2073" w:rsidRDefault="001A2073">
      <w:pPr>
        <w:spacing w:before="100" w:after="100"/>
      </w:pPr>
    </w:p>
    <w:p w14:paraId="377AE246" w14:textId="77777777" w:rsidR="001A2073" w:rsidRDefault="001A2073">
      <w:pPr>
        <w:spacing w:before="100" w:after="100"/>
      </w:pPr>
    </w:p>
    <w:p w14:paraId="4CE2F77E" w14:textId="77777777" w:rsidR="001A2073" w:rsidRDefault="001A2073">
      <w:pPr>
        <w:spacing w:before="100" w:after="100"/>
      </w:pPr>
    </w:p>
    <w:p w14:paraId="6321A369" w14:textId="77777777" w:rsidR="001A2073" w:rsidRDefault="001A2073">
      <w:pPr>
        <w:spacing w:before="100" w:after="100"/>
      </w:pPr>
    </w:p>
    <w:p w14:paraId="7D21B24E" w14:textId="77777777" w:rsidR="001A2073" w:rsidRDefault="001A2073">
      <w:pPr>
        <w:spacing w:before="100" w:after="100"/>
      </w:pPr>
    </w:p>
    <w:p w14:paraId="0CE6FCFD" w14:textId="77777777" w:rsidR="001A2073" w:rsidRDefault="001A2073">
      <w:pPr>
        <w:spacing w:before="100" w:after="100"/>
      </w:pPr>
    </w:p>
    <w:p w14:paraId="47ADF158" w14:textId="77777777" w:rsidR="001A2073" w:rsidRDefault="001A2073">
      <w:pPr>
        <w:spacing w:before="100" w:after="100"/>
      </w:pPr>
    </w:p>
    <w:p w14:paraId="542CCD21" w14:textId="77777777" w:rsidR="00AF74FA" w:rsidRDefault="00000000">
      <w:pPr>
        <w:pStyle w:val="Heading1"/>
      </w:pPr>
      <w:r>
        <w:lastRenderedPageBreak/>
        <w:t>7. Performance Observations</w:t>
      </w:r>
    </w:p>
    <w:p w14:paraId="55C641FB" w14:textId="77777777" w:rsidR="00AF74FA" w:rsidRDefault="00AF74FA">
      <w:pPr>
        <w:pBdr>
          <w:bottom w:val="single" w:sz="8" w:space="1" w:color="1E3A5F"/>
        </w:pBdr>
        <w:spacing w:before="80" w:after="200"/>
      </w:pPr>
    </w:p>
    <w:p w14:paraId="49F86549" w14:textId="0784E73F" w:rsidR="001A2073" w:rsidRPr="001A2073" w:rsidRDefault="001A2073" w:rsidP="001A2073">
      <w:pPr>
        <w:pStyle w:val="Heading2"/>
      </w:pPr>
      <w:r>
        <w:t>7.1 Extraction Pipeline Performance</w:t>
      </w:r>
    </w:p>
    <w:p w14:paraId="06B8D348" w14:textId="04FF1C96" w:rsidR="001A2073" w:rsidRDefault="001A2073" w:rsidP="001A2073">
      <w:pPr>
        <w:spacing w:before="60" w:after="120"/>
        <w:jc w:val="both"/>
      </w:pPr>
      <w:r>
        <w:rPr>
          <w:color w:val="000000"/>
        </w:rPr>
        <w:t xml:space="preserve">Empirical observation of </w:t>
      </w:r>
      <w:proofErr w:type="spellStart"/>
      <w:r>
        <w:rPr>
          <w:color w:val="000000"/>
        </w:rPr>
        <w:t>MinerU's</w:t>
      </w:r>
      <w:proofErr w:type="spellEnd"/>
      <w:r>
        <w:rPr>
          <w:color w:val="000000"/>
        </w:rPr>
        <w:t xml:space="preserve"> extraction performance indicates that a standard 10-to-15-page academic PDF with two-column layout and moderate equation density processes in approximately 8 to 14 seconds on the Celery worker. This is dominated by the LayoutLMv3 computer vision inference pass, which accounts for roughly 70% of the extraction time. PDFs with heavy mathematical notation (common in theoretical machine learning or physics papers) process 20 to 40% slower due to the additional </w:t>
      </w:r>
      <w:proofErr w:type="spellStart"/>
      <w:r>
        <w:rPr>
          <w:color w:val="000000"/>
        </w:rPr>
        <w:t>UniMERNet</w:t>
      </w:r>
      <w:proofErr w:type="spellEnd"/>
      <w:r>
        <w:rPr>
          <w:color w:val="000000"/>
        </w:rPr>
        <w:t xml:space="preserve"> equation translation step. Compared to naive PyPDF2 extraction, which completes in under one second but produces heavily fragmented, column-merged text, the quality-performance </w:t>
      </w:r>
      <w:proofErr w:type="spellStart"/>
      <w:r>
        <w:rPr>
          <w:color w:val="000000"/>
        </w:rPr>
        <w:t>tradeoff</w:t>
      </w:r>
      <w:proofErr w:type="spellEnd"/>
      <w:r>
        <w:rPr>
          <w:color w:val="000000"/>
        </w:rPr>
        <w:t xml:space="preserve"> strongly </w:t>
      </w:r>
      <w:proofErr w:type="spellStart"/>
      <w:r>
        <w:rPr>
          <w:color w:val="000000"/>
        </w:rPr>
        <w:t>favors</w:t>
      </w:r>
      <w:proofErr w:type="spellEnd"/>
      <w:r>
        <w:rPr>
          <w:color w:val="000000"/>
        </w:rPr>
        <w:t xml:space="preserve"> the vision-based approach for scientific documents.</w:t>
      </w:r>
    </w:p>
    <w:p w14:paraId="7B8E15B8" w14:textId="77777777" w:rsidR="001A2073" w:rsidRDefault="001A2073" w:rsidP="001A2073">
      <w:pPr>
        <w:pStyle w:val="Heading2"/>
      </w:pPr>
      <w:r>
        <w:t>7.2 Statistical Computation Performance</w:t>
      </w:r>
    </w:p>
    <w:p w14:paraId="14E42643" w14:textId="77777777" w:rsidR="001A2073" w:rsidRDefault="001A2073" w:rsidP="001A2073">
      <w:pPr>
        <w:spacing w:before="60" w:after="120"/>
        <w:jc w:val="both"/>
      </w:pPr>
      <w:r>
        <w:rPr>
          <w:color w:val="000000"/>
        </w:rPr>
        <w:t xml:space="preserve">The Pandas and NumPy Statistical Engine </w:t>
      </w:r>
      <w:proofErr w:type="gramStart"/>
      <w:r>
        <w:rPr>
          <w:color w:val="000000"/>
        </w:rPr>
        <w:t>demonstrates</w:t>
      </w:r>
      <w:proofErr w:type="gramEnd"/>
      <w:r>
        <w:rPr>
          <w:color w:val="000000"/>
        </w:rPr>
        <w:t xml:space="preserve"> near-linear scaling for TF-IDF computation and cosine similarity for corpora up to 30 papers, with typical computation times in the 200 to 600 millisecond range for a batch of 20 papers. The K-Means clustering step adds approximately 150 milliseconds per iteration with K=5, typically converging in 8 to 15 iterations. PCA dimensionality reduction for the scatter plot visualization adds a negligible 30 to 50 milliseconds. The performance ceiling is reached at approximately 50 papers, where the full N² similarity matrix computation begins to exceed one second, which remains within acceptable interactive response thresholds.</w:t>
      </w:r>
    </w:p>
    <w:p w14:paraId="0F9C99E8" w14:textId="77777777" w:rsidR="001A2073" w:rsidRDefault="001A2073" w:rsidP="001A2073">
      <w:pPr>
        <w:pStyle w:val="Heading2"/>
      </w:pPr>
      <w:r>
        <w:t xml:space="preserve">7.3 </w:t>
      </w:r>
      <w:proofErr w:type="spellStart"/>
      <w:r>
        <w:t>GraphRAG</w:t>
      </w:r>
      <w:proofErr w:type="spellEnd"/>
      <w:r>
        <w:t xml:space="preserve"> Knowledge Graph Construction</w:t>
      </w:r>
    </w:p>
    <w:p w14:paraId="05C90A4A" w14:textId="77777777" w:rsidR="001A2073" w:rsidRDefault="001A2073" w:rsidP="001A2073">
      <w:pPr>
        <w:spacing w:before="60" w:after="120"/>
        <w:jc w:val="both"/>
      </w:pPr>
      <w:r>
        <w:rPr>
          <w:color w:val="000000"/>
        </w:rPr>
        <w:t xml:space="preserve">The </w:t>
      </w:r>
      <w:proofErr w:type="spellStart"/>
      <w:r>
        <w:rPr>
          <w:color w:val="000000"/>
        </w:rPr>
        <w:t>Cognee</w:t>
      </w:r>
      <w:proofErr w:type="spellEnd"/>
      <w:r>
        <w:rPr>
          <w:color w:val="000000"/>
        </w:rPr>
        <w:t xml:space="preserve"> Triplet extraction pipeline is the most computationally expensive stage of the entire system, as it requires one or more LLM inference calls per document chunk. For a 15-page paper divided into 512-token chunks, this produces approximately 25 to 40 inference calls. With a locally hosted Mistral-7B model, this translates to approximately 45 to 90 seconds of processing time per paper, which is handled asynchronously by the Celery worker and therefore does not block the user interface. The resulting Knowledge Graph provides significantly higher precision for contradiction detection and citation hierarchy mapping compared to a pure vector similarity approach, representing a quality-over-speed architectural decision consistent with the system's research intelligence objectives.</w:t>
      </w:r>
    </w:p>
    <w:p w14:paraId="0C9C646B" w14:textId="77777777" w:rsidR="001A2073" w:rsidRDefault="001A2073" w:rsidP="001A2073">
      <w:pPr>
        <w:pStyle w:val="Heading2"/>
      </w:pPr>
      <w:r>
        <w:t>7.4 Frontend Performance</w:t>
      </w:r>
    </w:p>
    <w:p w14:paraId="66C524CD" w14:textId="0FB307F1" w:rsidR="001A2073" w:rsidRDefault="001A2073" w:rsidP="001A2073">
      <w:pPr>
        <w:spacing w:before="60" w:after="120"/>
        <w:jc w:val="both"/>
      </w:pPr>
      <w:r>
        <w:rPr>
          <w:color w:val="000000"/>
        </w:rPr>
        <w:t xml:space="preserve">The </w:t>
      </w:r>
      <w:proofErr w:type="spellStart"/>
      <w:r>
        <w:rPr>
          <w:color w:val="000000"/>
        </w:rPr>
        <w:t>Neumorphic</w:t>
      </w:r>
      <w:proofErr w:type="spellEnd"/>
      <w:r>
        <w:rPr>
          <w:color w:val="000000"/>
        </w:rPr>
        <w:t xml:space="preserve"> React dashboard maintains smooth 60-frames-per-second rendering during all data visualization interactions, including pan and zoom on the Research Topography showcasing plots and real-time filtering on the Methodology Matrix. React Query's intelligent caching ensures that navigating between dashboard panels does not trigger redundant API calls. The React Error Boundary implementation correctly isolates rendering failures: in testing, injecting a corrupt JSON payload into the similarity heatmap component caused only that component to display a graceful fallback state, with the remaining dashboard panels continuing to render correctly.</w:t>
      </w:r>
    </w:p>
    <w:p w14:paraId="3E477620" w14:textId="77777777" w:rsidR="00AF74FA" w:rsidRDefault="00AF74FA">
      <w:pPr>
        <w:spacing w:before="100" w:after="100"/>
      </w:pPr>
    </w:p>
    <w:p w14:paraId="568B8B8E" w14:textId="77777777" w:rsidR="00AF74FA" w:rsidRDefault="00000000">
      <w:r>
        <w:br w:type="page"/>
      </w:r>
    </w:p>
    <w:p w14:paraId="4275AFEF" w14:textId="77777777" w:rsidR="00AF74FA" w:rsidRDefault="00000000">
      <w:pPr>
        <w:pStyle w:val="Heading1"/>
      </w:pPr>
      <w:r>
        <w:lastRenderedPageBreak/>
        <w:t>8. Conclusion</w:t>
      </w:r>
    </w:p>
    <w:p w14:paraId="37EB4C80" w14:textId="77777777" w:rsidR="00AF74FA" w:rsidRDefault="00AF74FA">
      <w:pPr>
        <w:pBdr>
          <w:bottom w:val="single" w:sz="8" w:space="1" w:color="1E3A5F"/>
        </w:pBdr>
        <w:spacing w:before="80" w:after="200"/>
      </w:pPr>
    </w:p>
    <w:p w14:paraId="58E29AD2" w14:textId="77777777" w:rsidR="00AF74FA" w:rsidRDefault="00000000">
      <w:pPr>
        <w:spacing w:before="60" w:after="120"/>
        <w:jc w:val="both"/>
      </w:pPr>
      <w:proofErr w:type="spellStart"/>
      <w:r>
        <w:rPr>
          <w:color w:val="000000"/>
        </w:rPr>
        <w:t>Cognify</w:t>
      </w:r>
      <w:proofErr w:type="spellEnd"/>
      <w:r>
        <w:rPr>
          <w:color w:val="000000"/>
        </w:rPr>
        <w:t xml:space="preserve"> represents a meaningful step toward solving one of the most underappreciated productivity problems in academic research: the enormous cognitive and temporal cost of the preliminary literature review. By combining layout-aware multi-modal PDF extraction with a rigorously implemented statistical analysis pipeline, a </w:t>
      </w:r>
      <w:proofErr w:type="spellStart"/>
      <w:r>
        <w:rPr>
          <w:color w:val="000000"/>
        </w:rPr>
        <w:t>GraphRAG</w:t>
      </w:r>
      <w:proofErr w:type="spellEnd"/>
      <w:r>
        <w:rPr>
          <w:color w:val="000000"/>
        </w:rPr>
        <w:t>-powered relational reasoning engine, and a production-grade asynchronous architecture, the system delivers research intelligence that would previously have required days of manual work in a matter of seconds.</w:t>
      </w:r>
    </w:p>
    <w:p w14:paraId="085A5FB5" w14:textId="77777777" w:rsidR="00AF74FA" w:rsidRDefault="00000000">
      <w:pPr>
        <w:spacing w:before="60" w:after="120"/>
        <w:jc w:val="both"/>
      </w:pPr>
      <w:r>
        <w:rPr>
          <w:color w:val="000000"/>
        </w:rPr>
        <w:t xml:space="preserve">The architectural decisions documented in this report reflect deliberate engineering trade-offs. The choice of a Celery/Redis worker queue over synchronous processing was driven by the need to maintain API responsiveness at scale. The selection of cosine similarity over Euclidean distance was grounded in the document-length independence property critical for comparing papers of varying lengths. The adoption of </w:t>
      </w:r>
      <w:proofErr w:type="spellStart"/>
      <w:r>
        <w:rPr>
          <w:color w:val="000000"/>
        </w:rPr>
        <w:t>GraphRAG</w:t>
      </w:r>
      <w:proofErr w:type="spellEnd"/>
      <w:r>
        <w:rPr>
          <w:color w:val="000000"/>
        </w:rPr>
        <w:t xml:space="preserve"> over standard vector RAG was motivated by the deterministic accuracy requirements of citation analysis and contradiction detection. Each decision demonstrates that the system's design is not merely an implementation exercise, but a reasoned application of computer science and statistical principles.</w:t>
      </w:r>
    </w:p>
    <w:p w14:paraId="0E164812" w14:textId="0355A5CC" w:rsidR="00AF74FA" w:rsidRDefault="00000000">
      <w:pPr>
        <w:spacing w:before="60" w:after="120"/>
        <w:jc w:val="both"/>
      </w:pPr>
      <w:r>
        <w:rPr>
          <w:color w:val="000000"/>
        </w:rPr>
        <w:t xml:space="preserve">The limitations and future improvements documented herein are not </w:t>
      </w:r>
      <w:r w:rsidR="00563E49">
        <w:rPr>
          <w:color w:val="000000"/>
        </w:rPr>
        <w:t>weaknesses,</w:t>
      </w:r>
      <w:r>
        <w:rPr>
          <w:color w:val="000000"/>
        </w:rPr>
        <w:t xml:space="preserve"> but honest reflections of the engineering complexity involved in processing unstructured scientific knowledge at scale. The O(N²) complexity ceiling, LLM dependency, and OCR quality sensitivity all represent known, well-characterized constraints with clear engineering paths to resolution. </w:t>
      </w:r>
      <w:proofErr w:type="spellStart"/>
      <w:r>
        <w:rPr>
          <w:color w:val="000000"/>
        </w:rPr>
        <w:t>Cognify</w:t>
      </w:r>
      <w:proofErr w:type="spellEnd"/>
      <w:r>
        <w:rPr>
          <w:color w:val="000000"/>
        </w:rPr>
        <w:t xml:space="preserve"> is not a finished product but a strong, extensible foundation. The architecture is deliberately modular, ensuring that each of its five processing stages can be independently upgraded or replaced as more capable extraction models, faster vector indices, or more accurate LLMs become available. In this sense, the system is designed not just to solve today's literature review problem, but to grow with the research landscape it serves.</w:t>
      </w:r>
    </w:p>
    <w:p w14:paraId="07D79F8D" w14:textId="77777777" w:rsidR="00AF74FA" w:rsidRDefault="00AF74FA">
      <w:pPr>
        <w:spacing w:before="200" w:after="100"/>
      </w:pPr>
    </w:p>
    <w:p w14:paraId="7610A2DC" w14:textId="77777777" w:rsidR="00AF74FA" w:rsidRDefault="00AF74FA">
      <w:pPr>
        <w:pBdr>
          <w:bottom w:val="single" w:sz="8" w:space="1" w:color="1E3A5F"/>
        </w:pBdr>
        <w:spacing w:before="80" w:after="200"/>
      </w:pPr>
    </w:p>
    <w:p w14:paraId="7744CC6D" w14:textId="77777777" w:rsidR="00AF74FA" w:rsidRDefault="00000000">
      <w:pPr>
        <w:spacing w:before="120" w:after="60"/>
        <w:jc w:val="center"/>
      </w:pPr>
      <w:r>
        <w:rPr>
          <w:i/>
          <w:iCs/>
          <w:color w:val="444444"/>
          <w:sz w:val="20"/>
          <w:szCs w:val="20"/>
        </w:rPr>
        <w:t>End of Technical Report</w:t>
      </w:r>
    </w:p>
    <w:p w14:paraId="25637134" w14:textId="6AAFF600" w:rsidR="00AF74FA" w:rsidRDefault="00000000">
      <w:pPr>
        <w:spacing w:before="60" w:after="60"/>
        <w:jc w:val="center"/>
      </w:pPr>
      <w:r>
        <w:rPr>
          <w:color w:val="444444"/>
          <w:sz w:val="19"/>
          <w:szCs w:val="19"/>
        </w:rPr>
        <w:t xml:space="preserve">Harsidak Singh </w:t>
      </w:r>
      <w:proofErr w:type="gramStart"/>
      <w:r>
        <w:rPr>
          <w:color w:val="444444"/>
          <w:sz w:val="19"/>
          <w:szCs w:val="19"/>
        </w:rPr>
        <w:t>Banwait  •</w:t>
      </w:r>
      <w:proofErr w:type="gramEnd"/>
      <w:r>
        <w:rPr>
          <w:color w:val="444444"/>
          <w:sz w:val="19"/>
          <w:szCs w:val="19"/>
        </w:rPr>
        <w:t xml:space="preserve">  </w:t>
      </w:r>
      <w:r w:rsidR="00563E49">
        <w:rPr>
          <w:color w:val="444444"/>
          <w:sz w:val="19"/>
          <w:szCs w:val="19"/>
        </w:rPr>
        <w:t xml:space="preserve">Karunika </w:t>
      </w:r>
      <w:proofErr w:type="gramStart"/>
      <w:r w:rsidR="00563E49">
        <w:rPr>
          <w:color w:val="444444"/>
          <w:sz w:val="19"/>
          <w:szCs w:val="19"/>
        </w:rPr>
        <w:t>•</w:t>
      </w:r>
      <w:r>
        <w:rPr>
          <w:color w:val="444444"/>
          <w:sz w:val="19"/>
          <w:szCs w:val="19"/>
        </w:rPr>
        <w:t xml:space="preserve">  </w:t>
      </w:r>
      <w:r w:rsidR="00563E49">
        <w:rPr>
          <w:color w:val="444444"/>
          <w:sz w:val="19"/>
          <w:szCs w:val="19"/>
        </w:rPr>
        <w:t>Anayat</w:t>
      </w:r>
      <w:proofErr w:type="gramEnd"/>
      <w:r w:rsidR="00563E49">
        <w:rPr>
          <w:color w:val="444444"/>
          <w:sz w:val="19"/>
          <w:szCs w:val="19"/>
        </w:rPr>
        <w:t xml:space="preserve"> </w:t>
      </w:r>
      <w:proofErr w:type="gramStart"/>
      <w:r w:rsidR="00563E49">
        <w:rPr>
          <w:color w:val="444444"/>
          <w:sz w:val="19"/>
          <w:szCs w:val="19"/>
        </w:rPr>
        <w:t>•</w:t>
      </w:r>
      <w:r>
        <w:rPr>
          <w:color w:val="444444"/>
          <w:sz w:val="19"/>
          <w:szCs w:val="19"/>
        </w:rPr>
        <w:t xml:space="preserve">  Evolve</w:t>
      </w:r>
      <w:proofErr w:type="gramEnd"/>
      <w:r>
        <w:rPr>
          <w:color w:val="444444"/>
          <w:sz w:val="19"/>
          <w:szCs w:val="19"/>
        </w:rPr>
        <w:t xml:space="preserve"> AI </w:t>
      </w:r>
      <w:proofErr w:type="gramStart"/>
      <w:r>
        <w:rPr>
          <w:color w:val="444444"/>
          <w:sz w:val="19"/>
          <w:szCs w:val="19"/>
        </w:rPr>
        <w:t>Club  •</w:t>
      </w:r>
      <w:proofErr w:type="gramEnd"/>
      <w:r>
        <w:rPr>
          <w:color w:val="444444"/>
          <w:sz w:val="19"/>
          <w:szCs w:val="19"/>
        </w:rPr>
        <w:t xml:space="preserve">  March 2026</w:t>
      </w:r>
    </w:p>
    <w:sectPr w:rsidR="00AF74F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4CE4" w14:textId="77777777" w:rsidR="00AC66BD" w:rsidRDefault="00AC66BD">
      <w:r>
        <w:separator/>
      </w:r>
    </w:p>
  </w:endnote>
  <w:endnote w:type="continuationSeparator" w:id="0">
    <w:p w14:paraId="24DA8985" w14:textId="77777777" w:rsidR="00AC66BD" w:rsidRDefault="00A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3A74E" w14:textId="77777777" w:rsidR="00AF74FA" w:rsidRDefault="00000000">
    <w:pPr>
      <w:pBdr>
        <w:top w:val="single" w:sz="4" w:space="1" w:color="1E3A5F"/>
      </w:pBdr>
      <w:spacing w:before="120"/>
      <w:jc w:val="right"/>
    </w:pPr>
    <w:r>
      <w:rPr>
        <w:color w:val="1E3A5F"/>
        <w:sz w:val="18"/>
        <w:szCs w:val="18"/>
      </w:rPr>
      <w:t xml:space="preserve">Page </w:t>
    </w:r>
    <w:r>
      <w:rPr>
        <w:color w:val="1E3A5F"/>
        <w:sz w:val="18"/>
        <w:szCs w:val="18"/>
      </w:rPr>
      <w:fldChar w:fldCharType="begin"/>
    </w:r>
    <w:r>
      <w:rPr>
        <w:color w:val="1E3A5F"/>
        <w:sz w:val="18"/>
        <w:szCs w:val="18"/>
      </w:rPr>
      <w:instrText>PAGE</w:instrText>
    </w:r>
    <w:r>
      <w:rPr>
        <w:color w:val="1E3A5F"/>
        <w:sz w:val="18"/>
        <w:szCs w:val="18"/>
      </w:rPr>
      <w:fldChar w:fldCharType="separate"/>
    </w:r>
    <w:r w:rsidR="00017E88">
      <w:rPr>
        <w:noProof/>
        <w:color w:val="1E3A5F"/>
        <w:sz w:val="18"/>
        <w:szCs w:val="18"/>
      </w:rPr>
      <w:t>1</w:t>
    </w:r>
    <w:r>
      <w:rPr>
        <w:color w:val="1E3A5F"/>
        <w:sz w:val="18"/>
        <w:szCs w:val="18"/>
      </w:rPr>
      <w:fldChar w:fldCharType="end"/>
    </w:r>
    <w:r>
      <w:rPr>
        <w:color w:val="1E3A5F"/>
        <w:sz w:val="18"/>
        <w:szCs w:val="18"/>
      </w:rPr>
      <w:t xml:space="preserve"> of </w:t>
    </w:r>
    <w:r>
      <w:rPr>
        <w:color w:val="1E3A5F"/>
        <w:sz w:val="18"/>
        <w:szCs w:val="18"/>
      </w:rPr>
      <w:fldChar w:fldCharType="begin"/>
    </w:r>
    <w:r>
      <w:rPr>
        <w:color w:val="1E3A5F"/>
        <w:sz w:val="18"/>
        <w:szCs w:val="18"/>
      </w:rPr>
      <w:instrText>NUMPAGES</w:instrText>
    </w:r>
    <w:r>
      <w:rPr>
        <w:color w:val="1E3A5F"/>
        <w:sz w:val="18"/>
        <w:szCs w:val="18"/>
      </w:rPr>
      <w:fldChar w:fldCharType="separate"/>
    </w:r>
    <w:r w:rsidR="00017E88">
      <w:rPr>
        <w:noProof/>
        <w:color w:val="1E3A5F"/>
        <w:sz w:val="18"/>
        <w:szCs w:val="18"/>
      </w:rPr>
      <w:t>2</w:t>
    </w:r>
    <w:r>
      <w:rPr>
        <w:color w:val="1E3A5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C3B5" w14:textId="77777777" w:rsidR="00AC66BD" w:rsidRDefault="00AC66BD">
      <w:r>
        <w:separator/>
      </w:r>
    </w:p>
  </w:footnote>
  <w:footnote w:type="continuationSeparator" w:id="0">
    <w:p w14:paraId="3D57E893" w14:textId="77777777" w:rsidR="00AC66BD" w:rsidRDefault="00A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7301" w14:textId="77777777" w:rsidR="00AF74FA" w:rsidRDefault="00000000">
    <w:pPr>
      <w:pBdr>
        <w:bottom w:val="single" w:sz="4" w:space="1" w:color="1E3A5F"/>
      </w:pBdr>
      <w:spacing w:after="120"/>
    </w:pPr>
    <w:r>
      <w:rPr>
        <w:i/>
        <w:iCs/>
        <w:color w:val="1E3A5F"/>
        <w:sz w:val="18"/>
        <w:szCs w:val="18"/>
      </w:rPr>
      <w:t xml:space="preserve">AI-Powered Research Paper </w:t>
    </w:r>
    <w:proofErr w:type="gramStart"/>
    <w:r>
      <w:rPr>
        <w:i/>
        <w:iCs/>
        <w:color w:val="1E3A5F"/>
        <w:sz w:val="18"/>
        <w:szCs w:val="18"/>
      </w:rPr>
      <w:t>Analyzer  |</w:t>
    </w:r>
    <w:proofErr w:type="gramEnd"/>
    <w:r>
      <w:rPr>
        <w:i/>
        <w:iCs/>
        <w:color w:val="1E3A5F"/>
        <w:sz w:val="18"/>
        <w:szCs w:val="18"/>
      </w:rPr>
      <w:t xml:space="preserve">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37EA3"/>
    <w:multiLevelType w:val="hybridMultilevel"/>
    <w:tmpl w:val="28409B2A"/>
    <w:lvl w:ilvl="0" w:tplc="1A98B818">
      <w:start w:val="1"/>
      <w:numFmt w:val="bullet"/>
      <w:lvlText w:val="•"/>
      <w:lvlJc w:val="left"/>
      <w:pPr>
        <w:ind w:left="720" w:hanging="360"/>
      </w:pPr>
    </w:lvl>
    <w:lvl w:ilvl="1" w:tplc="28B86786">
      <w:numFmt w:val="decimal"/>
      <w:lvlText w:val=""/>
      <w:lvlJc w:val="left"/>
    </w:lvl>
    <w:lvl w:ilvl="2" w:tplc="F76EBA82">
      <w:numFmt w:val="decimal"/>
      <w:lvlText w:val=""/>
      <w:lvlJc w:val="left"/>
    </w:lvl>
    <w:lvl w:ilvl="3" w:tplc="8CBED1B4">
      <w:numFmt w:val="decimal"/>
      <w:lvlText w:val=""/>
      <w:lvlJc w:val="left"/>
    </w:lvl>
    <w:lvl w:ilvl="4" w:tplc="70A85C3A">
      <w:numFmt w:val="decimal"/>
      <w:lvlText w:val=""/>
      <w:lvlJc w:val="left"/>
    </w:lvl>
    <w:lvl w:ilvl="5" w:tplc="92265DFE">
      <w:numFmt w:val="decimal"/>
      <w:lvlText w:val=""/>
      <w:lvlJc w:val="left"/>
    </w:lvl>
    <w:lvl w:ilvl="6" w:tplc="43C8B8AC">
      <w:numFmt w:val="decimal"/>
      <w:lvlText w:val=""/>
      <w:lvlJc w:val="left"/>
    </w:lvl>
    <w:lvl w:ilvl="7" w:tplc="209A2100">
      <w:numFmt w:val="decimal"/>
      <w:lvlText w:val=""/>
      <w:lvlJc w:val="left"/>
    </w:lvl>
    <w:lvl w:ilvl="8" w:tplc="6834FA40">
      <w:numFmt w:val="decimal"/>
      <w:lvlText w:val=""/>
      <w:lvlJc w:val="left"/>
    </w:lvl>
  </w:abstractNum>
  <w:abstractNum w:abstractNumId="1" w15:restartNumberingAfterBreak="0">
    <w:nsid w:val="69984641"/>
    <w:multiLevelType w:val="hybridMultilevel"/>
    <w:tmpl w:val="4BBCD112"/>
    <w:lvl w:ilvl="0" w:tplc="33329068">
      <w:start w:val="1"/>
      <w:numFmt w:val="bullet"/>
      <w:lvlText w:val="●"/>
      <w:lvlJc w:val="left"/>
      <w:pPr>
        <w:ind w:left="720" w:hanging="360"/>
      </w:pPr>
    </w:lvl>
    <w:lvl w:ilvl="1" w:tplc="4E06BC26">
      <w:start w:val="1"/>
      <w:numFmt w:val="bullet"/>
      <w:lvlText w:val="○"/>
      <w:lvlJc w:val="left"/>
      <w:pPr>
        <w:ind w:left="1440" w:hanging="360"/>
      </w:pPr>
    </w:lvl>
    <w:lvl w:ilvl="2" w:tplc="81A28FEE">
      <w:start w:val="1"/>
      <w:numFmt w:val="bullet"/>
      <w:lvlText w:val="■"/>
      <w:lvlJc w:val="left"/>
      <w:pPr>
        <w:ind w:left="2160" w:hanging="360"/>
      </w:pPr>
    </w:lvl>
    <w:lvl w:ilvl="3" w:tplc="0AE41D22">
      <w:start w:val="1"/>
      <w:numFmt w:val="bullet"/>
      <w:lvlText w:val="●"/>
      <w:lvlJc w:val="left"/>
      <w:pPr>
        <w:ind w:left="2880" w:hanging="360"/>
      </w:pPr>
    </w:lvl>
    <w:lvl w:ilvl="4" w:tplc="FFB0A02C">
      <w:start w:val="1"/>
      <w:numFmt w:val="bullet"/>
      <w:lvlText w:val="○"/>
      <w:lvlJc w:val="left"/>
      <w:pPr>
        <w:ind w:left="3600" w:hanging="360"/>
      </w:pPr>
    </w:lvl>
    <w:lvl w:ilvl="5" w:tplc="479A6A32">
      <w:start w:val="1"/>
      <w:numFmt w:val="bullet"/>
      <w:lvlText w:val="■"/>
      <w:lvlJc w:val="left"/>
      <w:pPr>
        <w:ind w:left="4320" w:hanging="360"/>
      </w:pPr>
    </w:lvl>
    <w:lvl w:ilvl="6" w:tplc="6F44F9AC">
      <w:start w:val="1"/>
      <w:numFmt w:val="bullet"/>
      <w:lvlText w:val="●"/>
      <w:lvlJc w:val="left"/>
      <w:pPr>
        <w:ind w:left="5040" w:hanging="360"/>
      </w:pPr>
    </w:lvl>
    <w:lvl w:ilvl="7" w:tplc="E994912C">
      <w:start w:val="1"/>
      <w:numFmt w:val="bullet"/>
      <w:lvlText w:val="●"/>
      <w:lvlJc w:val="left"/>
      <w:pPr>
        <w:ind w:left="5760" w:hanging="360"/>
      </w:pPr>
    </w:lvl>
    <w:lvl w:ilvl="8" w:tplc="C6A2B59E">
      <w:start w:val="1"/>
      <w:numFmt w:val="bullet"/>
      <w:lvlText w:val="●"/>
      <w:lvlJc w:val="left"/>
      <w:pPr>
        <w:ind w:left="6480" w:hanging="360"/>
      </w:pPr>
    </w:lvl>
  </w:abstractNum>
  <w:num w:numId="1" w16cid:durableId="1712537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4FA"/>
    <w:rsid w:val="00017E88"/>
    <w:rsid w:val="001A2073"/>
    <w:rsid w:val="001A4A1F"/>
    <w:rsid w:val="002462C4"/>
    <w:rsid w:val="002C549D"/>
    <w:rsid w:val="003F49C4"/>
    <w:rsid w:val="0054512A"/>
    <w:rsid w:val="00563E49"/>
    <w:rsid w:val="005A6A7A"/>
    <w:rsid w:val="00775A00"/>
    <w:rsid w:val="00975C49"/>
    <w:rsid w:val="00A25742"/>
    <w:rsid w:val="00AC66BD"/>
    <w:rsid w:val="00AF74FA"/>
    <w:rsid w:val="00F35C74"/>
    <w:rsid w:val="00F8570F"/>
    <w:rsid w:val="00FE2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15F5"/>
  <w15:docId w15:val="{DAA18B85-3835-45B1-9DE5-7159B53A4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E88"/>
  </w:style>
  <w:style w:type="paragraph" w:styleId="Heading1">
    <w:name w:val="heading 1"/>
    <w:uiPriority w:val="9"/>
    <w:qFormat/>
    <w:pPr>
      <w:spacing w:before="320" w:after="160"/>
      <w:outlineLvl w:val="0"/>
    </w:pPr>
    <w:rPr>
      <w:b/>
      <w:bCs/>
      <w:color w:val="1E3A5F"/>
      <w:sz w:val="30"/>
      <w:szCs w:val="30"/>
    </w:rPr>
  </w:style>
  <w:style w:type="paragraph" w:styleId="Heading2">
    <w:name w:val="heading 2"/>
    <w:link w:val="Heading2Char"/>
    <w:uiPriority w:val="9"/>
    <w:unhideWhenUsed/>
    <w:qFormat/>
    <w:pPr>
      <w:spacing w:before="240" w:after="12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1A2073"/>
    <w:rPr>
      <w:b/>
      <w:bCs/>
      <w:color w:val="1E3A5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3871</Words>
  <Characters>22067</Characters>
  <Application>Microsoft Office Word</Application>
  <DocSecurity>0</DocSecurity>
  <Lines>183</Lines>
  <Paragraphs>51</Paragraphs>
  <ScaleCrop>false</ScaleCrop>
  <Company/>
  <LinksUpToDate>false</LinksUpToDate>
  <CharactersWithSpaces>25887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Harsidak Singh Banwait</cp:lastModifiedBy>
  <cp:revision>13</cp:revision>
  <dcterms:created xsi:type="dcterms:W3CDTF">2026-03-07T18:29:00Z</dcterms:created>
  <dcterms:modified xsi:type="dcterms:W3CDTF">2026-03-08T15:15:00Z</dcterms:modified>
</cp:coreProperties>
</file>