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MiniQuantDesk Master Idea Document (v14)</w:t>
      </w:r>
    </w:p>
    <w:p>
      <w:pPr>
        <w:pStyle w:val="SubtitleCustom"/>
        <w:jc w:val="center"/>
      </w:pPr>
      <w:r>
        <w:t xml:space="preserve">Living architecture, research, and strategy design repository for MiniQuantDesk. </w:t>
      </w:r>
      <w:r>
        <w:t>Editable Word edition converted from the v13 PDF and expanded with multi-engine account segmentation ideas.</w:t>
      </w:r>
    </w:p>
    <w:p>
      <w:pPr>
        <w:spacing w:after="120"/>
        <w:pBdr>
          <w:bottom w:val="single" w:sz="8" w:space="1" w:color="BFBFBF"/>
        </w:pBdr>
      </w:pPr>
    </w:p>
    <w:p>
      <w:pPr>
        <w:pStyle w:val="SectionCustom"/>
      </w:pPr>
      <w:r>
        <w:t>Core Architecture Principles</w:t>
      </w:r>
    </w:p>
    <w:p>
      <w:pPr>
        <w:pStyle w:val="BodyBullet"/>
      </w:pPr>
      <w:r>
        <w:t>Deterministic runtime.</w:t>
      </w:r>
    </w:p>
    <w:p>
      <w:pPr>
        <w:pStyle w:val="BodyBullet"/>
      </w:pPr>
      <w:r>
        <w:t>Postgres as system of record.</w:t>
      </w:r>
    </w:p>
    <w:p>
      <w:pPr>
        <w:pStyle w:val="BodyBullet"/>
      </w:pPr>
      <w:r>
        <w:t>Fail-closed behavior.</w:t>
      </w:r>
    </w:p>
    <w:p>
      <w:pPr>
        <w:pStyle w:val="BodyBullet"/>
      </w:pPr>
      <w:r>
        <w:t>Unified engine for backtesting and live trading.</w:t>
      </w:r>
    </w:p>
    <w:p>
      <w:pPr>
        <w:pStyle w:val="BodyBullet"/>
      </w:pPr>
      <w:r>
        <w:t>Modular strategy and execution pipelines.</w:t>
      </w:r>
    </w:p>
    <w:p>
      <w:pPr>
        <w:pStyle w:val="SectionCustom"/>
      </w:pPr>
      <w:r>
        <w:t>Institutional Safety Mechanisms</w:t>
      </w:r>
    </w:p>
    <w:p>
      <w:pPr>
        <w:pStyle w:val="BodyBullet"/>
      </w:pPr>
      <w:r>
        <w:t>Independent risk engine.</w:t>
      </w:r>
    </w:p>
    <w:p>
      <w:pPr>
        <w:pStyle w:val="BodyBullet"/>
      </w:pPr>
      <w:r>
        <w:t>Broker reconciliation loop.</w:t>
      </w:r>
    </w:p>
    <w:p>
      <w:pPr>
        <w:pStyle w:val="BodyBullet"/>
      </w:pPr>
      <w:r>
        <w:t>Deterministic replay engine.</w:t>
      </w:r>
    </w:p>
    <w:p>
      <w:pPr>
        <w:pStyle w:val="BodyBullet"/>
      </w:pPr>
      <w:r>
        <w:t>Correlation risk controls.</w:t>
      </w:r>
    </w:p>
    <w:p>
      <w:pPr>
        <w:pStyle w:val="BodyBullet"/>
      </w:pPr>
      <w:r>
        <w:t>Market regime detection.</w:t>
      </w:r>
    </w:p>
    <w:p>
      <w:pPr>
        <w:pStyle w:val="BodyBullet"/>
      </w:pPr>
      <w:r>
        <w:t>Infrastructure monitoring and alerts.</w:t>
      </w:r>
    </w:p>
    <w:p>
      <w:pPr>
        <w:pStyle w:val="BodyBullet"/>
      </w:pPr>
      <w:r>
        <w:t>Order integrity guards.</w:t>
      </w:r>
    </w:p>
    <w:p>
      <w:pPr>
        <w:pStyle w:val="BodyBullet"/>
      </w:pPr>
      <w:r>
        <w:t>Borrow availability checks.</w:t>
      </w:r>
    </w:p>
    <w:p>
      <w:pPr>
        <w:pStyle w:val="BodyBullet"/>
      </w:pPr>
      <w:r>
        <w:t>Capacity limits.</w:t>
      </w:r>
    </w:p>
    <w:p>
      <w:pPr>
        <w:pStyle w:val="BodyBullet"/>
      </w:pPr>
      <w:r>
        <w:t>Exchange calendar truth.</w:t>
      </w:r>
    </w:p>
    <w:p>
      <w:pPr>
        <w:pStyle w:val="SectionCustom"/>
      </w:pPr>
      <w:r>
        <w:t>Alpha Lifecycle Systems</w:t>
      </w:r>
    </w:p>
    <w:p>
      <w:pPr>
        <w:pStyle w:val="BodyBullet"/>
      </w:pPr>
      <w:r>
        <w:t>Alpha Decay Defense System.</w:t>
      </w:r>
    </w:p>
    <w:p>
      <w:pPr>
        <w:pStyle w:val="BodyBullet"/>
      </w:pPr>
      <w:r>
        <w:t>Strategy Graveyard.</w:t>
      </w:r>
    </w:p>
    <w:p>
      <w:pPr>
        <w:pStyle w:val="BodyBullet"/>
      </w:pPr>
      <w:r>
        <w:t>Strategy Registry.</w:t>
      </w:r>
    </w:p>
    <w:p>
      <w:pPr>
        <w:pStyle w:val="BodyBullet"/>
      </w:pPr>
      <w:r>
        <w:t>Feature Library.</w:t>
      </w:r>
    </w:p>
    <w:p>
      <w:pPr>
        <w:pStyle w:val="BodyBullet"/>
      </w:pPr>
      <w:r>
        <w:t>Alpha Research Loop.</w:t>
      </w:r>
    </w:p>
    <w:p>
      <w:pPr>
        <w:pStyle w:val="SectionCustom"/>
      </w:pPr>
      <w:r>
        <w:t>Strategy Factory Architecture</w:t>
      </w:r>
    </w:p>
    <w:p>
      <w:pPr>
        <w:pStyle w:val="BodyBullet"/>
      </w:pPr>
      <w:r>
        <w:t>Feature library feeds strategy generator.</w:t>
      </w:r>
    </w:p>
    <w:p>
      <w:pPr>
        <w:pStyle w:val="BodyBullet"/>
      </w:pPr>
      <w:r>
        <w:t>Automated generation of candidate strategies.</w:t>
      </w:r>
    </w:p>
    <w:p>
      <w:pPr>
        <w:pStyle w:val="BodyBullet"/>
      </w:pPr>
      <w:r>
        <w:t>Mass backtesting evaluates candidates.</w:t>
      </w:r>
    </w:p>
    <w:p>
      <w:pPr>
        <w:pStyle w:val="BodyBullet"/>
      </w:pPr>
      <w:r>
        <w:t>Statistical filters remove unstable strategies.</w:t>
      </w:r>
    </w:p>
    <w:p>
      <w:pPr>
        <w:pStyle w:val="BodyBullet"/>
      </w:pPr>
      <w:r>
        <w:t>Paper trading validation stage.</w:t>
      </w:r>
    </w:p>
    <w:p>
      <w:pPr>
        <w:pStyle w:val="BodyBullet"/>
      </w:pPr>
      <w:r>
        <w:t>Live deployment with capital allocator.</w:t>
      </w:r>
    </w:p>
    <w:p>
      <w:pPr>
        <w:pStyle w:val="SectionCustom"/>
      </w:pPr>
      <w:r>
        <w:t>Distributed Backtesting Engine</w:t>
      </w:r>
    </w:p>
    <w:p>
      <w:pPr>
        <w:pStyle w:val="BodyBullet"/>
      </w:pPr>
      <w:r>
        <w:t>Parallel testing of thousands or millions of strategies.</w:t>
      </w:r>
    </w:p>
    <w:p>
      <w:pPr>
        <w:pStyle w:val="BodyBullet"/>
      </w:pPr>
      <w:r>
        <w:t>Backtest scheduler distributes jobs across workers.</w:t>
      </w:r>
    </w:p>
    <w:p>
      <w:pPr>
        <w:pStyle w:val="BodyBullet"/>
      </w:pPr>
      <w:r>
        <w:t>Workers execute strategies using deterministic engine.</w:t>
      </w:r>
    </w:p>
    <w:p>
      <w:pPr>
        <w:pStyle w:val="BodyBullet"/>
      </w:pPr>
      <w:r>
        <w:t>Results aggregated into centralized research database.</w:t>
      </w:r>
    </w:p>
    <w:p>
      <w:pPr>
        <w:pStyle w:val="SectionCustom"/>
      </w:pPr>
      <w:r>
        <w:t>Strategy Validation Framework</w:t>
      </w:r>
    </w:p>
    <w:p>
      <w:pPr>
        <w:pStyle w:val="BodyBullet"/>
      </w:pPr>
      <w:r>
        <w:t>Walk-forward analysis.</w:t>
      </w:r>
    </w:p>
    <w:p>
      <w:pPr>
        <w:pStyle w:val="BodyBullet"/>
      </w:pPr>
      <w:r>
        <w:t>Purged cross validation.</w:t>
      </w:r>
    </w:p>
    <w:p>
      <w:pPr>
        <w:pStyle w:val="BodyBullet"/>
      </w:pPr>
      <w:r>
        <w:t>Monte Carlo robustness testing.</w:t>
      </w:r>
    </w:p>
    <w:p>
      <w:pPr>
        <w:pStyle w:val="BodyBullet"/>
      </w:pPr>
      <w:r>
        <w:t>Parameter stability testing.</w:t>
      </w:r>
    </w:p>
    <w:p>
      <w:pPr>
        <w:pStyle w:val="BodyBullet"/>
      </w:pPr>
      <w:r>
        <w:t>Out-of-sample validation.</w:t>
      </w:r>
    </w:p>
    <w:p>
      <w:pPr>
        <w:pStyle w:val="BodyBullet"/>
      </w:pPr>
      <w:r>
        <w:t>Live vs backtest drift monitoring.</w:t>
      </w:r>
    </w:p>
    <w:p>
      <w:pPr>
        <w:pStyle w:val="SectionCustom"/>
      </w:pPr>
      <w:r>
        <w:t>Architecture Implementation Priorities (High ROI)</w:t>
      </w:r>
    </w:p>
    <w:p>
      <w:pPr>
        <w:pStyle w:val="BodyBullet"/>
      </w:pPr>
      <w:r>
        <w:t>Strategy Registry: central database of all strategies, parameters, dataset versions, and lifecycle state.</w:t>
      </w:r>
    </w:p>
    <w:p>
      <w:pPr>
        <w:pStyle w:val="BodyBullet"/>
      </w:pPr>
      <w:r>
        <w:t>Alpha Quality Scoring Engine: compute quantitative score for each strategy based on Sharpe, drawdown, stability, and diversification.</w:t>
      </w:r>
    </w:p>
    <w:p>
      <w:pPr>
        <w:pStyle w:val="BodyBullet"/>
      </w:pPr>
      <w:r>
        <w:t>Portfolio Capital Allocator: automatically allocate capital across strategies using scoring and risk models.</w:t>
      </w:r>
    </w:p>
    <w:p>
      <w:pPr>
        <w:pStyle w:val="BodyBullet"/>
      </w:pPr>
      <w:r>
        <w:t>Alpha Decay Monitoring System: detect degradation in strategy performance and reduce capital automatically.</w:t>
      </w:r>
    </w:p>
    <w:p>
      <w:pPr>
        <w:pStyle w:val="BodyBullet"/>
      </w:pPr>
      <w:r>
        <w:t>Feature Store: centralized repository of engineered signals used across strategies.</w:t>
      </w:r>
    </w:p>
    <w:p>
      <w:pPr>
        <w:pStyle w:val="BodyBullet"/>
      </w:pPr>
      <w:r>
        <w:t>Strategy Validation Test Suite: automated statistical validation before strategies are promoted to paper or live trading.</w:t>
      </w:r>
    </w:p>
    <w:p>
      <w:pPr>
        <w:pStyle w:val="BodyBullet"/>
      </w:pPr>
      <w:r>
        <w:t>Execution Algorithm Layer: implement execution styles such as TWAP, VWAP, and participation algorithms to reduce slippage.</w:t>
      </w:r>
    </w:p>
    <w:p>
      <w:pPr>
        <w:pStyle w:val="BodyBullet"/>
      </w:pPr>
      <w:r>
        <w:t>Research Experiment Tracker: record dataset versions, parameters, metrics, and artifacts for every research experiment.</w:t>
      </w:r>
    </w:p>
    <w:p>
      <w:pPr>
        <w:pStyle w:val="BodyBullet"/>
      </w:pPr>
      <w:r>
        <w:t>Stress Testing Engine: simulate crisis scenarios and extreme volatility conditions to evaluate robustness.</w:t>
      </w:r>
    </w:p>
    <w:p>
      <w:pPr>
        <w:pStyle w:val="BodyBullet"/>
      </w:pPr>
      <w:r>
        <w:t>Broker Reconciliation Engine: continuously verify broker state vs internal state and halt trading on inconsistencies.</w:t>
      </w:r>
    </w:p>
    <w:p>
      <w:pPr>
        <w:pStyle w:val="SectionCustom"/>
      </w:pPr>
      <w:r>
        <w:t>Multi-Engine Account Segmentation and Risk Model</w:t>
      </w:r>
    </w:p>
    <w:p>
      <w:pPr>
        <w:pStyle w:val="BodyBullet"/>
      </w:pPr>
      <w:r>
        <w:t>One account per engine instance. MAIN and EXP must never share live execution authority over the same account.</w:t>
      </w:r>
    </w:p>
    <w:p>
      <w:pPr>
        <w:pStyle w:val="BodyBullet"/>
      </w:pPr>
      <w:r>
        <w:t>MAIN remains the canonical, tightly controlled engine and should carry the stricter operating constraints, proof burden, and operator trust surface.</w:t>
      </w:r>
    </w:p>
    <w:p>
      <w:pPr>
        <w:pStyle w:val="BodyBullet"/>
      </w:pPr>
      <w:r>
        <w:t>EXP can evolve into the higher-risk engine, intended for less constrained strategies, more aggressive experimentation, and controlled pursuit of asymmetric upside.</w:t>
      </w:r>
    </w:p>
    <w:p>
      <w:pPr>
        <w:pStyle w:val="BodyBullet"/>
      </w:pPr>
      <w:r>
        <w:t>MAIN and EXP may run at the same time only when they are account-partitioned, capital-partitioned, and operationally isolated from each other.</w:t>
      </w:r>
    </w:p>
    <w:p>
      <w:pPr>
        <w:pStyle w:val="BodyBullet"/>
      </w:pPr>
      <w:r>
        <w:t>If MAIN proves itself over time, multiple MAIN instances can be deployed across separate accounts, each with its own authority boundary and no possibility of double-ordering against a shared account.</w:t>
      </w:r>
    </w:p>
    <w:p>
      <w:pPr>
        <w:pStyle w:val="BodyBullet"/>
      </w:pPr>
      <w:r>
        <w:t>Running multiple strategies is desirable, but strategy scale should sit behind explicit account partitioning, capital allocation rules, and independent risk controls rather than loose parallel bots.</w:t>
      </w:r>
    </w:p>
    <w:p>
      <w:pPr>
        <w:pStyle w:val="BodyBullet"/>
      </w:pPr>
      <w:r>
        <w:t>Future multi-engine growth should preserve one execution authority per account, clear risk budgets per engine, and zero ambiguity about which engine owns each position, order stream, and reconciliation surface.</w:t>
      </w:r>
    </w:p>
    <w:p>
      <w:pPr>
        <w:pStyle w:val="NoteCustom"/>
      </w:pPr>
      <w:r>
        <w:t>Operator rule: share the foundation, isolate the reality. Reuse platform primitives where useful, but keep account authority, risk, lifecycle, and operator truth clearly separated by engine until deliberate promotion occurs.</w:t>
      </w:r>
    </w:p>
    <w:p>
      <w:pPr>
        <w:pStyle w:val="SectionCustom"/>
      </w:pPr>
      <w:r>
        <w:t>Suggested Scaling Path</w:t>
      </w:r>
    </w:p>
    <w:p>
      <w:pPr>
        <w:pStyle w:val="BodyBullet"/>
      </w:pPr>
      <w:r>
        <w:t>Stage 1: one canonical MAIN engine plus an isolated EXP engine used for research, sandboxing, and tightly bounded higher-risk experimentation.</w:t>
      </w:r>
    </w:p>
    <w:p>
      <w:pPr>
        <w:pStyle w:val="BodyBullet"/>
      </w:pPr>
      <w:r>
        <w:t>Stage 2: multiple strategies inside each engine with explicit allocation logic, while preserving one execution authority per account.</w:t>
      </w:r>
    </w:p>
    <w:p>
      <w:pPr>
        <w:pStyle w:val="BodyBullet"/>
      </w:pPr>
      <w:r>
        <w:t>Stage 3: multiple account-partitioned engine instances, each with distinct lifecycle, risk, and reconciliation ownership.</w:t>
      </w:r>
    </w:p>
    <w:p>
      <w:pPr>
        <w:pStyle w:val="BodyBullet"/>
      </w:pPr>
      <w:r>
        <w:t>Stage 4: portfolio-level supervision only after per-engine and per-account truth are already stable.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MiniQuantDesk master idea document • editable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pPr>
      <w:spacing w:before="0" w:after="80"/>
    </w:pPr>
    <w:rPr>
      <w:rFonts w:ascii="Aptos" w:hAnsi="Aptos"/>
      <w:b/>
      <w:color w:val="1F4E79"/>
      <w:sz w:val="44"/>
    </w:rPr>
  </w:style>
  <w:style w:type="paragraph" w:customStyle="1" w:styleId="SubtitleCustom">
    <w:name w:val="SubtitleCustom"/>
    <w:basedOn w:val="Subtitle"/>
    <w:pPr>
      <w:spacing w:before="0" w:after="280"/>
    </w:pPr>
    <w:rPr>
      <w:rFonts w:ascii="Aptos" w:hAnsi="Aptos"/>
      <w:b w:val="0"/>
      <w:color w:val="606060"/>
      <w:sz w:val="22"/>
    </w:rPr>
  </w:style>
  <w:style w:type="paragraph" w:customStyle="1" w:styleId="SectionCustom">
    <w:name w:val="SectionCustom"/>
    <w:basedOn w:val="Heading1"/>
    <w:pPr>
      <w:spacing w:before="200" w:after="80"/>
    </w:pPr>
    <w:rPr>
      <w:rFonts w:ascii="Aptos" w:hAnsi="Aptos"/>
      <w:b/>
      <w:color w:val="1F4E79"/>
      <w:sz w:val="28"/>
    </w:rPr>
  </w:style>
  <w:style w:type="paragraph" w:customStyle="1" w:styleId="BodyBullet">
    <w:name w:val="BodyBullet"/>
    <w:basedOn w:val="ListBullet"/>
    <w:pPr>
      <w:spacing w:before="0" w:after="60"/>
    </w:pPr>
    <w:rPr>
      <w:rFonts w:ascii="Aptos" w:hAnsi="Aptos"/>
      <w:b w:val="0"/>
      <w:sz w:val="21"/>
    </w:rPr>
  </w:style>
  <w:style w:type="paragraph" w:customStyle="1" w:styleId="NoteCustom">
    <w:name w:val="NoteCustom"/>
    <w:basedOn w:val="IntenseQuote"/>
    <w:pPr>
      <w:spacing w:before="120" w:after="160"/>
    </w:pPr>
    <w:rPr>
      <w:rFonts w:ascii="Aptos" w:hAnsi="Aptos"/>
      <w:b w:val="0"/>
      <w:color w:val="50505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