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B0" w:rsidRPr="00320D34" w:rsidRDefault="009D1B87" w:rsidP="002A27B0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320D34">
        <w:rPr>
          <w:rFonts w:ascii="Arial" w:eastAsiaTheme="minorEastAsia" w:hAnsi="Arial" w:cs="Arial"/>
          <w:bCs/>
          <w:i/>
          <w:kern w:val="24"/>
        </w:rPr>
        <w:t>In vivo</w:t>
      </w:r>
      <w:r w:rsidRPr="00320D34">
        <w:rPr>
          <w:rFonts w:ascii="Arial" w:eastAsiaTheme="minorEastAsia" w:hAnsi="Arial" w:cs="Arial"/>
          <w:bCs/>
          <w:kern w:val="24"/>
        </w:rPr>
        <w:t xml:space="preserve"> Synaptic Density Imaging with</w:t>
      </w:r>
      <w:r w:rsidR="009B65D6" w:rsidRPr="00320D34">
        <w:rPr>
          <w:rFonts w:ascii="Arial" w:eastAsiaTheme="minorEastAsia" w:hAnsi="Arial" w:cs="Arial"/>
          <w:bCs/>
          <w:kern w:val="24"/>
        </w:rPr>
        <w:t xml:space="preserve"> </w:t>
      </w:r>
      <w:r w:rsidR="009B65D6" w:rsidRPr="00320D34">
        <w:rPr>
          <w:rFonts w:ascii="Arial" w:eastAsiaTheme="minorEastAsia" w:hAnsi="Arial" w:cs="Arial"/>
          <w:bCs/>
          <w:kern w:val="24"/>
          <w:vertAlign w:val="superscript"/>
        </w:rPr>
        <w:t>18</w:t>
      </w:r>
      <w:r w:rsidR="009B65D6" w:rsidRPr="00320D34">
        <w:rPr>
          <w:rFonts w:ascii="Arial" w:eastAsiaTheme="minorEastAsia" w:hAnsi="Arial" w:cs="Arial"/>
          <w:bCs/>
          <w:kern w:val="24"/>
        </w:rPr>
        <w:t>F-UCB-H</w:t>
      </w:r>
      <w:r w:rsidR="002A27B0" w:rsidRPr="00320D34">
        <w:rPr>
          <w:rFonts w:ascii="Arial" w:eastAsiaTheme="minorEastAsia" w:hAnsi="Arial" w:cs="Arial"/>
          <w:bCs/>
          <w:kern w:val="24"/>
        </w:rPr>
        <w:t xml:space="preserve"> </w:t>
      </w:r>
      <w:r w:rsidRPr="00320D34">
        <w:rPr>
          <w:rFonts w:ascii="Arial" w:eastAsiaTheme="minorEastAsia" w:hAnsi="Arial" w:cs="Arial"/>
          <w:bCs/>
          <w:kern w:val="24"/>
        </w:rPr>
        <w:t xml:space="preserve">Detects Effects of </w:t>
      </w:r>
      <w:r w:rsidR="00012700">
        <w:rPr>
          <w:rFonts w:ascii="Arial" w:eastAsiaTheme="minorEastAsia" w:hAnsi="Arial" w:cs="Arial"/>
          <w:bCs/>
          <w:kern w:val="24"/>
        </w:rPr>
        <w:t>Space</w:t>
      </w:r>
      <w:r w:rsidRPr="00320D34">
        <w:rPr>
          <w:rFonts w:ascii="Arial" w:eastAsiaTheme="minorEastAsia" w:hAnsi="Arial" w:cs="Arial"/>
          <w:bCs/>
          <w:kern w:val="24"/>
        </w:rPr>
        <w:t xml:space="preserve"> Irradiation</w:t>
      </w:r>
      <w:r w:rsidR="002A27B0" w:rsidRPr="00320D34">
        <w:rPr>
          <w:rFonts w:ascii="Arial" w:eastAsiaTheme="minorEastAsia" w:hAnsi="Arial" w:cs="Arial"/>
          <w:bCs/>
          <w:kern w:val="24"/>
        </w:rPr>
        <w:t xml:space="preserve"> </w:t>
      </w:r>
      <w:r w:rsidRPr="00320D34">
        <w:rPr>
          <w:rFonts w:ascii="Arial" w:eastAsiaTheme="minorEastAsia" w:hAnsi="Arial" w:cs="Arial"/>
          <w:bCs/>
          <w:kern w:val="24"/>
        </w:rPr>
        <w:t>in Rat Brain</w:t>
      </w:r>
    </w:p>
    <w:p w:rsidR="006F5EA4" w:rsidRDefault="002A27B0" w:rsidP="00831052">
      <w:pPr>
        <w:pStyle w:val="NormalWeb"/>
        <w:spacing w:before="0" w:beforeAutospacing="0" w:after="0" w:afterAutospacing="0"/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</w:pPr>
      <w:r w:rsidRPr="002A27B0">
        <w:rPr>
          <w:rFonts w:ascii="Arial" w:eastAsiaTheme="minorEastAsia" w:hAnsi="Arial" w:cs="Arial"/>
          <w:color w:val="000000" w:themeColor="text1"/>
          <w:kern w:val="24"/>
        </w:rPr>
        <w:t> </w:t>
      </w:r>
      <w:r w:rsidR="009B65D6"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Barbara Holshouser</w:t>
      </w:r>
      <w:r w:rsidR="006F5EA4"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  <w:t>1</w:t>
      </w:r>
      <w:r w:rsidR="009D1B87"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,</w:t>
      </w:r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 xml:space="preserve"> Umesh Gangadharmath</w:t>
      </w:r>
      <w:r w:rsidR="006F5EA4"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  <w:t>1</w:t>
      </w:r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 xml:space="preserve">, </w:t>
      </w:r>
      <w:r w:rsidR="009D1B87"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Richard Hartman</w:t>
      </w:r>
      <w:r w:rsidR="006F5EA4"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  <w:t>3</w:t>
      </w:r>
      <w:r w:rsidR="009D1B87"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 xml:space="preserve">, </w:t>
      </w:r>
      <w:proofErr w:type="spellStart"/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Tamako</w:t>
      </w:r>
      <w:proofErr w:type="spellEnd"/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 xml:space="preserve"> Jones</w:t>
      </w:r>
      <w:r w:rsidR="006F5EA4"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  <w:t>2</w:t>
      </w:r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, Saburi Eliamani</w:t>
      </w:r>
      <w:r w:rsidR="006F5EA4"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  <w:t>1</w:t>
      </w:r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, Seta Stanbouly</w:t>
      </w:r>
      <w:r w:rsidR="006F5EA4"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  <w:t>2</w:t>
      </w:r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, Peter Gifford</w:t>
      </w:r>
      <w:r w:rsidR="006F5EA4"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  <w:t>3</w:t>
      </w:r>
      <w:r w:rsidR="009D1B87"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,</w:t>
      </w:r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Lelah</w:t>
      </w:r>
      <w:proofErr w:type="spellEnd"/>
      <w:r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 xml:space="preserve"> Villalpando</w:t>
      </w:r>
      <w:r w:rsidR="006F5EA4"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  <w:t>3</w:t>
      </w:r>
      <w:r w:rsidR="009D1B87" w:rsidRPr="00FC6AE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 xml:space="preserve"> and Gregory A. Nelson</w:t>
      </w:r>
      <w:r w:rsidR="006F5EA4"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  <w:vertAlign w:val="superscript"/>
        </w:rPr>
        <w:t>2</w:t>
      </w:r>
    </w:p>
    <w:p w:rsidR="00831052" w:rsidRDefault="00831052" w:rsidP="00831052">
      <w:pPr>
        <w:pStyle w:val="NormalWeb"/>
        <w:spacing w:before="0" w:beforeAutospacing="0" w:after="0" w:afterAutospacing="0"/>
        <w:rPr>
          <w:rFonts w:ascii="Arial" w:eastAsiaTheme="minorEastAsia" w:hAnsi="Arial" w:cs="Arial"/>
          <w:bCs/>
          <w:i/>
          <w:iCs/>
          <w:color w:val="000000" w:themeColor="text1"/>
          <w:kern w:val="24"/>
          <w:vertAlign w:val="superscript"/>
        </w:rPr>
      </w:pPr>
    </w:p>
    <w:p w:rsidR="009B65D6" w:rsidRPr="009B65D6" w:rsidRDefault="006F5EA4" w:rsidP="006F5EA4">
      <w:pPr>
        <w:ind w:left="360"/>
        <w:rPr>
          <w:rFonts w:ascii="Arial" w:hAnsi="Arial" w:cs="Arial"/>
        </w:rPr>
      </w:pPr>
      <w:r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vertAlign w:val="superscript"/>
        </w:rPr>
        <w:t>1</w:t>
      </w:r>
      <w:r w:rsidR="002A27B0" w:rsidRPr="009B65D6">
        <w:rPr>
          <w:rFonts w:ascii="Arial" w:eastAsiaTheme="minorEastAsia" w:hAnsi="Arial" w:cs="Arial"/>
          <w:bCs/>
          <w:i/>
          <w:iCs/>
          <w:color w:val="000000" w:themeColor="text1"/>
          <w:kern w:val="24"/>
        </w:rPr>
        <w:t>Center for Imaging Research, School of Me</w:t>
      </w:r>
      <w:r w:rsidR="009B65D6">
        <w:rPr>
          <w:rFonts w:ascii="Arial" w:eastAsiaTheme="minorEastAsia" w:hAnsi="Arial" w:cs="Arial"/>
          <w:bCs/>
          <w:i/>
          <w:iCs/>
          <w:color w:val="000000" w:themeColor="text1"/>
          <w:kern w:val="24"/>
        </w:rPr>
        <w:t xml:space="preserve">dicine, Department of Radiology; </w:t>
      </w:r>
      <w:r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vertAlign w:val="superscript"/>
        </w:rPr>
        <w:t>2</w:t>
      </w:r>
      <w:r w:rsidR="009B65D6" w:rsidRPr="009B65D6">
        <w:rPr>
          <w:rFonts w:ascii="Arial" w:eastAsiaTheme="minorEastAsia" w:hAnsi="Arial" w:cs="Arial"/>
          <w:bCs/>
          <w:i/>
          <w:iCs/>
          <w:color w:val="000000" w:themeColor="text1"/>
          <w:kern w:val="24"/>
        </w:rPr>
        <w:t xml:space="preserve">School of Medicine, Department of Basic Sciences, Division of </w:t>
      </w:r>
      <w:r w:rsidR="009B65D6">
        <w:rPr>
          <w:rFonts w:ascii="Arial" w:eastAsiaTheme="minorEastAsia" w:hAnsi="Arial" w:cs="Arial"/>
          <w:bCs/>
          <w:i/>
          <w:iCs/>
          <w:color w:val="000000" w:themeColor="text1"/>
          <w:kern w:val="24"/>
        </w:rPr>
        <w:t xml:space="preserve">Biomedical Engineering Sciences; </w:t>
      </w:r>
      <w:r w:rsidR="009B65D6" w:rsidRPr="009B65D6">
        <w:rPr>
          <w:rFonts w:ascii="Arial" w:eastAsiaTheme="minorEastAsia" w:hAnsi="Arial" w:cs="Arial"/>
          <w:bCs/>
          <w:i/>
          <w:iCs/>
          <w:color w:val="000000" w:themeColor="text1"/>
          <w:kern w:val="24"/>
        </w:rPr>
        <w:t xml:space="preserve"> </w:t>
      </w:r>
    </w:p>
    <w:p w:rsidR="002A27B0" w:rsidRPr="009B65D6" w:rsidRDefault="006F5EA4" w:rsidP="006F5EA4">
      <w:pPr>
        <w:ind w:left="360"/>
        <w:rPr>
          <w:rFonts w:ascii="Arial" w:hAnsi="Arial" w:cs="Arial"/>
        </w:rPr>
      </w:pPr>
      <w:r w:rsidRPr="006F5EA4">
        <w:rPr>
          <w:rFonts w:ascii="Arial" w:eastAsiaTheme="minorEastAsia" w:hAnsi="Arial" w:cs="Arial"/>
          <w:bCs/>
          <w:i/>
          <w:iCs/>
          <w:color w:val="000000" w:themeColor="text1"/>
          <w:kern w:val="24"/>
          <w:vertAlign w:val="superscript"/>
        </w:rPr>
        <w:t>3</w:t>
      </w:r>
      <w:r w:rsidR="002A27B0" w:rsidRPr="009B65D6">
        <w:rPr>
          <w:rFonts w:ascii="Arial" w:eastAsiaTheme="minorEastAsia" w:hAnsi="Arial" w:cs="Arial"/>
          <w:bCs/>
          <w:i/>
          <w:iCs/>
          <w:color w:val="000000" w:themeColor="text1"/>
          <w:kern w:val="24"/>
        </w:rPr>
        <w:t>School of Behavioral Health, Loma Linda University Health, Loma Linda, CA. 92354</w:t>
      </w:r>
    </w:p>
    <w:p w:rsidR="002A27B0" w:rsidRPr="002A27B0" w:rsidRDefault="002A27B0" w:rsidP="002A27B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27B0">
        <w:rPr>
          <w:rFonts w:ascii="Arial" w:eastAsiaTheme="minorEastAsia" w:hAnsi="Arial" w:cs="Arial"/>
          <w:bCs/>
          <w:color w:val="000000" w:themeColor="text1"/>
          <w:kern w:val="24"/>
        </w:rPr>
        <w:t> </w:t>
      </w:r>
    </w:p>
    <w:p w:rsidR="00234986" w:rsidRPr="00501892" w:rsidRDefault="009B65D6" w:rsidP="002A27B0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</w:pPr>
      <w:bookmarkStart w:id="0" w:name="_GoBack"/>
      <w:r w:rsidRPr="00501892">
        <w:rPr>
          <w:rFonts w:ascii="Arial" w:eastAsiaTheme="minorEastAsia" w:hAnsi="Arial" w:cs="Arial"/>
          <w:b/>
          <w:color w:val="000000" w:themeColor="text1"/>
          <w:kern w:val="24"/>
          <w:sz w:val="22"/>
          <w:szCs w:val="22"/>
        </w:rPr>
        <w:t>Introduction:</w:t>
      </w:r>
      <w:r w:rsidRPr="00501892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Previous findings have shown that doses of charged particles as low as 5 </w:t>
      </w:r>
      <w:proofErr w:type="spellStart"/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cGy</w:t>
      </w:r>
      <w:proofErr w:type="spellEnd"/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can result in substantial reductions of synapse number in the mouse that are persistent over many months ( </w:t>
      </w:r>
      <w:proofErr w:type="spellStart"/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Parihar</w:t>
      </w:r>
      <w:proofErr w:type="spellEnd"/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</w:t>
      </w:r>
      <w:r w:rsidR="002A27B0" w:rsidRPr="00501892">
        <w:rPr>
          <w:rFonts w:ascii="Arial" w:eastAsiaTheme="minorEastAsia" w:hAnsi="Arial" w:cs="Arial"/>
          <w:bCs/>
          <w:i/>
          <w:iCs/>
          <w:color w:val="000000" w:themeColor="text1"/>
          <w:kern w:val="24"/>
          <w:sz w:val="22"/>
          <w:szCs w:val="22"/>
        </w:rPr>
        <w:t>et al.</w:t>
      </w:r>
      <w:r w:rsidR="009D0B0D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Sci. Adv. 2015;1:e1400256)</w:t>
      </w:r>
      <w:r w:rsidR="00A91D4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.</w:t>
      </w:r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To </w:t>
      </w:r>
      <w:r w:rsidR="00853212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non-invasively </w:t>
      </w:r>
      <w:r w:rsidR="00853212" w:rsidRPr="00501892">
        <w:rPr>
          <w:rFonts w:ascii="Arial" w:hAnsi="Arial" w:cs="Arial"/>
          <w:bCs/>
          <w:sz w:val="22"/>
          <w:szCs w:val="22"/>
        </w:rPr>
        <w:t>assess which brain regions are most sensitive to chronic, low-level radiation exposure,</w:t>
      </w:r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we examined adult male </w:t>
      </w:r>
      <w:proofErr w:type="spellStart"/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Wistar</w:t>
      </w:r>
      <w:proofErr w:type="spellEnd"/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rats irradiated with </w:t>
      </w:r>
      <w:r w:rsidR="00CD138D">
        <w:rPr>
          <w:rFonts w:ascii="Arial" w:eastAsiaTheme="minorEastAsia" w:hAnsi="Arial" w:cs="Arial"/>
          <w:bCs/>
          <w:color w:val="000000" w:themeColor="text1"/>
          <w:kern w:val="24"/>
          <w:vertAlign w:val="superscript"/>
        </w:rPr>
        <w:t>252</w:t>
      </w:r>
      <w:r w:rsidR="00CD138D">
        <w:rPr>
          <w:rFonts w:ascii="Arial" w:eastAsiaTheme="minorEastAsia" w:hAnsi="Arial" w:cs="Arial"/>
          <w:bCs/>
          <w:color w:val="000000" w:themeColor="text1"/>
          <w:kern w:val="24"/>
        </w:rPr>
        <w:t>Cf</w:t>
      </w:r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neutrons </w:t>
      </w:r>
      <w:r w:rsidR="00853212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with</w:t>
      </w:r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PE</w:t>
      </w:r>
      <w:r w:rsidR="000444C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T imaging using a </w:t>
      </w:r>
      <w:proofErr w:type="spellStart"/>
      <w:r w:rsidR="000444C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radioligand</w:t>
      </w:r>
      <w:proofErr w:type="spellEnd"/>
      <w:r w:rsidR="000444C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(</w:t>
      </w:r>
      <w:r w:rsidR="00CD138D" w:rsidRPr="00501892">
        <w:rPr>
          <w:rFonts w:ascii="Arial" w:eastAsiaTheme="minorEastAsia" w:hAnsi="Arial" w:cs="Arial"/>
          <w:bCs/>
          <w:color w:val="000000" w:themeColor="text1"/>
          <w:kern w:val="24"/>
          <w:vertAlign w:val="superscript"/>
        </w:rPr>
        <w:t>18</w:t>
      </w:r>
      <w:r w:rsidR="00CD138D" w:rsidRPr="00501892">
        <w:rPr>
          <w:rFonts w:ascii="Arial" w:eastAsiaTheme="minorEastAsia" w:hAnsi="Arial" w:cs="Arial"/>
          <w:bCs/>
          <w:color w:val="000000" w:themeColor="text1"/>
          <w:kern w:val="24"/>
        </w:rPr>
        <w:t>F-UCB-H</w:t>
      </w:r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) which binds specifically to the synaptic vesicle protein SV2A and serves as a </w:t>
      </w:r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surrogate </w:t>
      </w:r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marker of synap</w:t>
      </w:r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tic density</w:t>
      </w:r>
      <w:r w:rsidR="002A27B0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.</w:t>
      </w:r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</w:t>
      </w:r>
      <w:r w:rsidR="00A91D4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For comparison, r</w:t>
      </w:r>
      <w:r w:rsidR="00234986" w:rsidRP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egion-specific c-</w:t>
      </w:r>
      <w:proofErr w:type="spellStart"/>
      <w:r w:rsidR="00234986" w:rsidRP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fos</w:t>
      </w:r>
      <w:proofErr w:type="spellEnd"/>
      <w:r w:rsidR="00234986" w:rsidRP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expression following a behavioral stimulus</w:t>
      </w:r>
      <w:r w:rsidR="00CE3518" w:rsidRP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in a subset of animals</w:t>
      </w:r>
      <w:r w:rsidR="000444C0" w:rsidRP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</w:t>
      </w:r>
      <w:r w:rsidR="0004379A" w:rsidRP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was performed </w:t>
      </w:r>
      <w:r w:rsidR="00A91D4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t</w:t>
      </w:r>
      <w:r w:rsidR="00A91D4E" w:rsidRP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o determine the strength of beha</w:t>
      </w:r>
      <w:r w:rsidR="00A91D4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vior-neuron activation coupling.</w:t>
      </w:r>
    </w:p>
    <w:p w:rsidR="009B65D6" w:rsidRPr="00831052" w:rsidRDefault="009B65D6" w:rsidP="00831052">
      <w:pPr>
        <w:autoSpaceDE w:val="0"/>
        <w:autoSpaceDN w:val="0"/>
        <w:adjustRightInd w:val="0"/>
        <w:rPr>
          <w:rFonts w:ascii="Arial" w:hAnsi="Arial" w:cs="Arial"/>
        </w:rPr>
      </w:pPr>
      <w:r w:rsidRPr="00501892">
        <w:rPr>
          <w:rFonts w:ascii="Arial" w:eastAsiaTheme="minorEastAsia" w:hAnsi="Arial" w:cs="Arial"/>
          <w:b/>
          <w:bCs/>
          <w:color w:val="000000" w:themeColor="text1"/>
          <w:kern w:val="24"/>
        </w:rPr>
        <w:t>Methods:</w:t>
      </w:r>
      <w:r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</w:t>
      </w:r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</w:rPr>
        <w:t>Adult male</w:t>
      </w:r>
      <w:r w:rsidR="006A0A25" w:rsidRPr="00501892">
        <w:rPr>
          <w:rFonts w:ascii="Arial" w:eastAsiaTheme="minorEastAsia" w:hAnsi="Arial" w:cs="Arial"/>
          <w:bCs/>
          <w:color w:val="000000" w:themeColor="text1"/>
          <w:kern w:val="24"/>
        </w:rPr>
        <w:t>,</w:t>
      </w:r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</w:t>
      </w:r>
      <w:r w:rsidR="006A0A25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6 month old </w:t>
      </w:r>
      <w:proofErr w:type="spellStart"/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</w:rPr>
        <w:t>Wistar</w:t>
      </w:r>
      <w:proofErr w:type="spellEnd"/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rats</w:t>
      </w:r>
      <w:r w:rsidR="00213790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(n=15</w:t>
      </w:r>
      <w:r w:rsidR="008721DC" w:rsidRPr="00501892">
        <w:rPr>
          <w:rFonts w:ascii="Arial" w:eastAsiaTheme="minorEastAsia" w:hAnsi="Arial" w:cs="Arial"/>
          <w:bCs/>
          <w:color w:val="000000" w:themeColor="text1"/>
          <w:kern w:val="24"/>
        </w:rPr>
        <w:t>)</w:t>
      </w:r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were irradiated chronically with </w:t>
      </w:r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  <w:vertAlign w:val="superscript"/>
        </w:rPr>
        <w:t>252</w:t>
      </w:r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Cf neutrons at 1 </w:t>
      </w:r>
      <w:proofErr w:type="spellStart"/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</w:rPr>
        <w:t>mGy</w:t>
      </w:r>
      <w:proofErr w:type="spellEnd"/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/day for 6 months to a total dose of 180 </w:t>
      </w:r>
      <w:proofErr w:type="spellStart"/>
      <w:r w:rsidR="00234986" w:rsidRPr="00501892">
        <w:rPr>
          <w:rFonts w:ascii="Arial" w:eastAsiaTheme="minorEastAsia" w:hAnsi="Arial" w:cs="Arial"/>
          <w:bCs/>
          <w:color w:val="000000" w:themeColor="text1"/>
          <w:kern w:val="24"/>
        </w:rPr>
        <w:t>mGy</w:t>
      </w:r>
      <w:proofErr w:type="spellEnd"/>
      <w:r w:rsidR="00213790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and compared to controls (n=16</w:t>
      </w:r>
      <w:r w:rsidR="006A0A25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). </w:t>
      </w:r>
      <w:r w:rsidR="00C454CD" w:rsidRPr="00501892">
        <w:rPr>
          <w:rFonts w:ascii="Arial" w:eastAsiaTheme="minorEastAsia" w:hAnsi="Arial" w:cs="Arial"/>
          <w:bCs/>
          <w:color w:val="000000" w:themeColor="text1"/>
          <w:kern w:val="24"/>
        </w:rPr>
        <w:t>PET images of the brain were acquired in t</w:t>
      </w:r>
      <w:r w:rsidR="00A17908" w:rsidRPr="00501892">
        <w:rPr>
          <w:rFonts w:ascii="Arial" w:eastAsiaTheme="minorEastAsia" w:hAnsi="Arial" w:cs="Arial"/>
          <w:bCs/>
          <w:color w:val="000000" w:themeColor="text1"/>
          <w:kern w:val="24"/>
        </w:rPr>
        <w:t>welve rats (6 irradiated and 6 control</w:t>
      </w:r>
      <w:r w:rsidR="004E3FEA">
        <w:rPr>
          <w:rFonts w:ascii="Arial" w:eastAsiaTheme="minorEastAsia" w:hAnsi="Arial" w:cs="Arial"/>
          <w:bCs/>
          <w:color w:val="000000" w:themeColor="text1"/>
          <w:kern w:val="24"/>
        </w:rPr>
        <w:t>; 869±74 g</w:t>
      </w:r>
      <w:r w:rsidR="00A17908" w:rsidRPr="00501892">
        <w:rPr>
          <w:rFonts w:ascii="Arial" w:eastAsiaTheme="minorEastAsia" w:hAnsi="Arial" w:cs="Arial"/>
          <w:bCs/>
          <w:color w:val="000000" w:themeColor="text1"/>
          <w:kern w:val="24"/>
        </w:rPr>
        <w:t>) 65-67 days post-irradiati</w:t>
      </w:r>
      <w:r w:rsidR="00F52718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on using </w:t>
      </w:r>
      <w:r w:rsidR="00C454CD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the Rodent R4 </w:t>
      </w:r>
      <w:proofErr w:type="spellStart"/>
      <w:r w:rsidR="00F52718" w:rsidRPr="00501892">
        <w:rPr>
          <w:rFonts w:ascii="Arial" w:eastAsiaTheme="minorEastAsia" w:hAnsi="Arial" w:cs="Arial"/>
          <w:bCs/>
          <w:color w:val="000000" w:themeColor="text1"/>
          <w:kern w:val="24"/>
        </w:rPr>
        <w:t>microPET</w:t>
      </w:r>
      <w:proofErr w:type="spellEnd"/>
      <w:r w:rsidR="00C454CD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scanner (</w:t>
      </w:r>
      <w:r w:rsidR="00F52718" w:rsidRPr="00501892">
        <w:rPr>
          <w:rFonts w:ascii="Arial" w:eastAsiaTheme="minorEastAsia" w:hAnsi="Arial" w:cs="Arial"/>
          <w:bCs/>
          <w:color w:val="000000" w:themeColor="text1"/>
          <w:kern w:val="24"/>
        </w:rPr>
        <w:t>Concorde Systems</w:t>
      </w:r>
      <w:r w:rsidR="00A17908" w:rsidRPr="00501892">
        <w:rPr>
          <w:rFonts w:ascii="Arial" w:eastAsiaTheme="minorEastAsia" w:hAnsi="Arial" w:cs="Arial"/>
          <w:bCs/>
          <w:color w:val="000000" w:themeColor="text1"/>
          <w:kern w:val="24"/>
        </w:rPr>
        <w:t>)</w:t>
      </w:r>
      <w:r w:rsidR="00F52718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.  A </w:t>
      </w:r>
      <w:r w:rsidR="00AB7E87">
        <w:rPr>
          <w:rFonts w:ascii="Arial" w:eastAsiaTheme="minorEastAsia" w:hAnsi="Arial" w:cs="Arial"/>
          <w:bCs/>
          <w:color w:val="000000" w:themeColor="text1"/>
          <w:kern w:val="24"/>
        </w:rPr>
        <w:t>40 minute</w:t>
      </w:r>
      <w:r w:rsidR="00C454CD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dynamic</w:t>
      </w:r>
      <w:r w:rsidR="00F52718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list mode scan was performed immediately after injection of </w:t>
      </w:r>
      <w:r w:rsidR="00A17908" w:rsidRPr="00501892">
        <w:rPr>
          <w:rFonts w:ascii="Arial" w:eastAsiaTheme="minorEastAsia" w:hAnsi="Arial" w:cs="Arial"/>
          <w:bCs/>
          <w:color w:val="000000" w:themeColor="text1"/>
          <w:kern w:val="24"/>
          <w:vertAlign w:val="superscript"/>
        </w:rPr>
        <w:t>18</w:t>
      </w:r>
      <w:r w:rsidR="00A17908" w:rsidRPr="00501892">
        <w:rPr>
          <w:rFonts w:ascii="Arial" w:eastAsiaTheme="minorEastAsia" w:hAnsi="Arial" w:cs="Arial"/>
          <w:bCs/>
          <w:color w:val="000000" w:themeColor="text1"/>
          <w:kern w:val="24"/>
        </w:rPr>
        <w:t>F-UCB-H (</w:t>
      </w:r>
      <w:r w:rsidR="004E3FEA">
        <w:rPr>
          <w:rFonts w:ascii="Arial" w:eastAsiaTheme="minorEastAsia" w:hAnsi="Arial" w:cs="Arial"/>
          <w:bCs/>
          <w:color w:val="000000" w:themeColor="text1"/>
          <w:kern w:val="24"/>
        </w:rPr>
        <w:t xml:space="preserve">76.6±5.5 </w:t>
      </w:r>
      <w:proofErr w:type="spellStart"/>
      <w:r w:rsidR="004E3FEA">
        <w:rPr>
          <w:rFonts w:ascii="Arial" w:eastAsiaTheme="minorEastAsia" w:hAnsi="Arial" w:cs="Arial"/>
          <w:bCs/>
          <w:color w:val="000000" w:themeColor="text1"/>
          <w:kern w:val="24"/>
        </w:rPr>
        <w:t>MBq</w:t>
      </w:r>
      <w:proofErr w:type="spellEnd"/>
      <w:r w:rsidR="00792A9F">
        <w:rPr>
          <w:rFonts w:ascii="Arial" w:eastAsiaTheme="minorEastAsia" w:hAnsi="Arial" w:cs="Arial"/>
          <w:bCs/>
          <w:color w:val="000000" w:themeColor="text1"/>
          <w:kern w:val="24"/>
        </w:rPr>
        <w:t xml:space="preserve">). </w:t>
      </w:r>
      <w:r w:rsidR="00A91D4E">
        <w:rPr>
          <w:rFonts w:ascii="Arial" w:eastAsiaTheme="minorEastAsia" w:hAnsi="Arial" w:cs="Arial"/>
          <w:bCs/>
          <w:color w:val="000000" w:themeColor="text1"/>
          <w:kern w:val="24"/>
        </w:rPr>
        <w:t>Corrected i</w:t>
      </w:r>
      <w:r w:rsidR="00157932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mages </w:t>
      </w:r>
      <w:r w:rsid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were reconstructed by </w:t>
      </w:r>
      <w:r w:rsidR="000807ED" w:rsidRPr="00501892">
        <w:rPr>
          <w:rFonts w:ascii="Arial" w:eastAsiaTheme="minorEastAsia" w:hAnsi="Arial" w:cs="Arial"/>
          <w:bCs/>
          <w:color w:val="000000" w:themeColor="text1"/>
          <w:kern w:val="24"/>
        </w:rPr>
        <w:t>OSEM 2D</w:t>
      </w:r>
      <w:r w:rsidR="00501892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(4 iterations, 256x256, </w:t>
      </w:r>
      <w:r w:rsidR="00E16B1F">
        <w:rPr>
          <w:rFonts w:ascii="Arial" w:eastAsiaTheme="minorEastAsia" w:hAnsi="Arial" w:cs="Arial"/>
          <w:bCs/>
          <w:color w:val="000000" w:themeColor="text1"/>
          <w:kern w:val="24"/>
        </w:rPr>
        <w:t>r</w:t>
      </w:r>
      <w:r w:rsidR="00501892" w:rsidRPr="00501892">
        <w:rPr>
          <w:rFonts w:ascii="Arial" w:eastAsiaTheme="minorEastAsia" w:hAnsi="Arial" w:cs="Arial"/>
          <w:bCs/>
          <w:color w:val="000000" w:themeColor="text1"/>
          <w:kern w:val="24"/>
        </w:rPr>
        <w:t>amp filter, pixel size of 0.4x0.4x1.2 mm)</w:t>
      </w:r>
      <w:r w:rsidR="00A91D4E">
        <w:rPr>
          <w:rFonts w:ascii="Arial" w:eastAsiaTheme="minorEastAsia" w:hAnsi="Arial" w:cs="Arial"/>
          <w:bCs/>
          <w:color w:val="000000" w:themeColor="text1"/>
          <w:kern w:val="24"/>
        </w:rPr>
        <w:t xml:space="preserve">. </w:t>
      </w:r>
      <w:r w:rsidR="000807ED" w:rsidRPr="00501892">
        <w:rPr>
          <w:rFonts w:ascii="Arial" w:hAnsi="Arial" w:cs="Arial"/>
        </w:rPr>
        <w:t xml:space="preserve">Summed </w:t>
      </w:r>
      <w:r w:rsidR="00277984">
        <w:rPr>
          <w:rFonts w:ascii="Arial" w:hAnsi="Arial" w:cs="Arial"/>
        </w:rPr>
        <w:t>images (0–4</w:t>
      </w:r>
      <w:r w:rsidR="00785761" w:rsidRPr="00501892">
        <w:rPr>
          <w:rFonts w:ascii="Arial" w:hAnsi="Arial" w:cs="Arial"/>
        </w:rPr>
        <w:t>0</w:t>
      </w:r>
      <w:r w:rsidR="000807ED" w:rsidRPr="00501892">
        <w:rPr>
          <w:rFonts w:ascii="Arial" w:hAnsi="Arial" w:cs="Arial"/>
        </w:rPr>
        <w:t xml:space="preserve"> min)</w:t>
      </w:r>
      <w:r w:rsidR="00A57C7E" w:rsidRPr="00501892">
        <w:rPr>
          <w:rFonts w:ascii="Arial" w:hAnsi="Arial" w:cs="Arial"/>
        </w:rPr>
        <w:t xml:space="preserve"> </w:t>
      </w:r>
      <w:r w:rsidR="000807ED" w:rsidRPr="00501892">
        <w:rPr>
          <w:rFonts w:ascii="Arial" w:hAnsi="Arial" w:cs="Arial"/>
        </w:rPr>
        <w:t xml:space="preserve">were used for </w:t>
      </w:r>
      <w:r w:rsidR="00C955F6">
        <w:rPr>
          <w:rFonts w:ascii="Arial" w:hAnsi="Arial" w:cs="Arial"/>
        </w:rPr>
        <w:t xml:space="preserve">rigid </w:t>
      </w:r>
      <w:proofErr w:type="spellStart"/>
      <w:r w:rsidR="000807ED" w:rsidRPr="00501892">
        <w:rPr>
          <w:rFonts w:ascii="Arial" w:hAnsi="Arial" w:cs="Arial"/>
        </w:rPr>
        <w:t>coregistration</w:t>
      </w:r>
      <w:proofErr w:type="spellEnd"/>
      <w:r w:rsidR="000807ED" w:rsidRPr="00501892">
        <w:rPr>
          <w:rFonts w:ascii="Arial" w:hAnsi="Arial" w:cs="Arial"/>
        </w:rPr>
        <w:t xml:space="preserve"> </w:t>
      </w:r>
      <w:r w:rsidR="00785761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with </w:t>
      </w:r>
      <w:r w:rsidR="000807ED" w:rsidRPr="00501892">
        <w:rPr>
          <w:rFonts w:ascii="Arial" w:eastAsiaTheme="minorEastAsia" w:hAnsi="Arial" w:cs="Arial"/>
          <w:bCs/>
          <w:color w:val="000000" w:themeColor="text1"/>
          <w:kern w:val="24"/>
        </w:rPr>
        <w:t>MRI</w:t>
      </w:r>
      <w:r w:rsidR="00501892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T2</w:t>
      </w:r>
      <w:r w:rsidR="000807ED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weighted brain images (</w:t>
      </w:r>
      <w:r w:rsidR="00157932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11.7T </w:t>
      </w:r>
      <w:r w:rsidR="000807ED" w:rsidRPr="00501892">
        <w:rPr>
          <w:rFonts w:ascii="Arial" w:eastAsiaTheme="minorEastAsia" w:hAnsi="Arial" w:cs="Arial"/>
          <w:bCs/>
          <w:color w:val="000000" w:themeColor="text1"/>
          <w:kern w:val="24"/>
        </w:rPr>
        <w:t>Bruker) and</w:t>
      </w:r>
      <w:r w:rsidR="000807ED" w:rsidRPr="00501892">
        <w:rPr>
          <w:rFonts w:ascii="Arial" w:hAnsi="Arial" w:cs="Arial"/>
        </w:rPr>
        <w:t xml:space="preserve"> a standard rat brain template available in </w:t>
      </w:r>
      <w:proofErr w:type="spellStart"/>
      <w:r w:rsidR="000807ED" w:rsidRPr="00501892">
        <w:rPr>
          <w:rFonts w:ascii="Arial" w:hAnsi="Arial" w:cs="Arial"/>
          <w:bCs/>
          <w:color w:val="000000" w:themeColor="text1"/>
          <w:kern w:val="24"/>
        </w:rPr>
        <w:t>Vivoquant</w:t>
      </w:r>
      <w:proofErr w:type="spellEnd"/>
      <w:r w:rsidR="000807ED" w:rsidRPr="00501892">
        <w:rPr>
          <w:rFonts w:ascii="Arial" w:hAnsi="Arial" w:cs="Arial"/>
          <w:bCs/>
          <w:color w:val="000000" w:themeColor="text1"/>
          <w:kern w:val="24"/>
        </w:rPr>
        <w:t xml:space="preserve">™ </w:t>
      </w:r>
      <w:r w:rsidR="00785761" w:rsidRPr="00501892">
        <w:rPr>
          <w:rFonts w:ascii="Arial" w:hAnsi="Arial" w:cs="Arial"/>
        </w:rPr>
        <w:t>software (version 4.0</w:t>
      </w:r>
      <w:r w:rsidR="000807ED" w:rsidRPr="00501892">
        <w:rPr>
          <w:rFonts w:ascii="Arial" w:hAnsi="Arial" w:cs="Arial"/>
        </w:rPr>
        <w:t xml:space="preserve">; </w:t>
      </w:r>
      <w:proofErr w:type="spellStart"/>
      <w:r w:rsidR="000807ED" w:rsidRPr="00501892">
        <w:rPr>
          <w:rFonts w:ascii="Arial" w:hAnsi="Arial" w:cs="Arial"/>
        </w:rPr>
        <w:t>InVicro</w:t>
      </w:r>
      <w:proofErr w:type="spellEnd"/>
      <w:r w:rsidR="00785761" w:rsidRPr="00501892">
        <w:rPr>
          <w:rFonts w:ascii="Arial" w:hAnsi="Arial" w:cs="Arial"/>
        </w:rPr>
        <w:t>)</w:t>
      </w:r>
      <w:r w:rsidR="00501892" w:rsidRPr="00501892">
        <w:rPr>
          <w:rFonts w:ascii="Arial" w:hAnsi="Arial" w:cs="Arial"/>
        </w:rPr>
        <w:t xml:space="preserve">. </w:t>
      </w:r>
      <w:r w:rsidR="00785761" w:rsidRPr="00501892">
        <w:rPr>
          <w:rFonts w:ascii="Arial" w:hAnsi="Arial" w:cs="Arial"/>
        </w:rPr>
        <w:t>A</w:t>
      </w:r>
      <w:r w:rsidR="000807ED" w:rsidRPr="00501892">
        <w:rPr>
          <w:rFonts w:ascii="Arial" w:hAnsi="Arial" w:cs="Arial"/>
        </w:rPr>
        <w:t xml:space="preserve">tlas </w:t>
      </w:r>
      <w:r w:rsidR="00785761" w:rsidRPr="00501892">
        <w:rPr>
          <w:rFonts w:ascii="Arial" w:hAnsi="Arial" w:cs="Arial"/>
        </w:rPr>
        <w:t xml:space="preserve">based </w:t>
      </w:r>
      <w:r w:rsidR="000807ED" w:rsidRPr="00501892">
        <w:rPr>
          <w:rFonts w:ascii="Arial" w:hAnsi="Arial" w:cs="Arial"/>
        </w:rPr>
        <w:t xml:space="preserve">volumes of interest, representing the </w:t>
      </w:r>
      <w:r w:rsidR="00501892" w:rsidRPr="00501892">
        <w:rPr>
          <w:rFonts w:ascii="Arial" w:hAnsi="Arial" w:cs="Arial"/>
        </w:rPr>
        <w:t xml:space="preserve">brain </w:t>
      </w:r>
      <w:r w:rsidR="000807ED" w:rsidRPr="00501892">
        <w:rPr>
          <w:rFonts w:ascii="Arial" w:hAnsi="Arial" w:cs="Arial"/>
        </w:rPr>
        <w:t>distribution of SV2A</w:t>
      </w:r>
      <w:r w:rsidR="00785761" w:rsidRPr="00501892">
        <w:rPr>
          <w:rFonts w:ascii="Arial" w:hAnsi="Arial" w:cs="Arial"/>
        </w:rPr>
        <w:t xml:space="preserve"> measured as S</w:t>
      </w:r>
      <w:r w:rsidR="000807ED" w:rsidRPr="00501892">
        <w:rPr>
          <w:rFonts w:ascii="Arial" w:hAnsi="Arial" w:cs="Arial"/>
        </w:rPr>
        <w:t xml:space="preserve">tandard Uptake Value (SUV) </w:t>
      </w:r>
      <w:r w:rsidR="00785761" w:rsidRPr="00501892">
        <w:rPr>
          <w:rFonts w:ascii="Arial" w:hAnsi="Arial" w:cs="Arial"/>
        </w:rPr>
        <w:t>were</w:t>
      </w:r>
      <w:r w:rsidR="00A57C7E" w:rsidRPr="00501892">
        <w:rPr>
          <w:rFonts w:ascii="Arial" w:hAnsi="Arial" w:cs="Arial"/>
        </w:rPr>
        <w:t xml:space="preserve"> used for c</w:t>
      </w:r>
      <w:r w:rsidR="00A57C7E" w:rsidRPr="00501892">
        <w:rPr>
          <w:rFonts w:ascii="Arial" w:eastAsiaTheme="minorEastAsia" w:hAnsi="Arial" w:cs="Arial"/>
          <w:bCs/>
          <w:color w:val="000000" w:themeColor="text1"/>
          <w:kern w:val="24"/>
        </w:rPr>
        <w:t>omparisons</w:t>
      </w:r>
      <w:r w:rsidR="0004379A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between </w:t>
      </w:r>
      <w:proofErr w:type="spellStart"/>
      <w:r w:rsidR="0004379A" w:rsidRPr="00501892">
        <w:rPr>
          <w:rFonts w:ascii="Arial" w:eastAsiaTheme="minorEastAsia" w:hAnsi="Arial" w:cs="Arial"/>
          <w:bCs/>
          <w:color w:val="000000" w:themeColor="text1"/>
          <w:kern w:val="24"/>
        </w:rPr>
        <w:t>unir</w:t>
      </w:r>
      <w:r w:rsidR="00213790" w:rsidRPr="00501892">
        <w:rPr>
          <w:rFonts w:ascii="Arial" w:eastAsiaTheme="minorEastAsia" w:hAnsi="Arial" w:cs="Arial"/>
          <w:bCs/>
          <w:color w:val="000000" w:themeColor="text1"/>
          <w:kern w:val="24"/>
        </w:rPr>
        <w:t>radiated</w:t>
      </w:r>
      <w:proofErr w:type="spellEnd"/>
      <w:r w:rsidR="00213790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 and irradiated animals.</w:t>
      </w:r>
      <w:r w:rsidR="00831052">
        <w:rPr>
          <w:rFonts w:ascii="Arial" w:eastAsiaTheme="minorEastAsia" w:hAnsi="Arial" w:cs="Arial"/>
          <w:bCs/>
          <w:color w:val="000000" w:themeColor="text1"/>
          <w:kern w:val="24"/>
        </w:rPr>
        <w:t xml:space="preserve"> </w:t>
      </w:r>
      <w:r w:rsidR="00951BC1" w:rsidRPr="00555FC0">
        <w:rPr>
          <w:rFonts w:ascii="Arial" w:eastAsiaTheme="minorEastAsia" w:hAnsi="Arial" w:cs="Arial"/>
          <w:bCs/>
          <w:color w:val="000000" w:themeColor="text1"/>
          <w:kern w:val="24"/>
        </w:rPr>
        <w:t>A separate cohort of animals (14 irradiated and 12 controls) were tested in four behavioral paradigms (</w:t>
      </w:r>
      <w:r w:rsidR="00951BC1">
        <w:rPr>
          <w:rFonts w:ascii="Arial" w:eastAsiaTheme="minorEastAsia" w:hAnsi="Arial" w:cs="Arial"/>
          <w:bCs/>
          <w:color w:val="000000" w:themeColor="text1"/>
          <w:kern w:val="24"/>
        </w:rPr>
        <w:t xml:space="preserve">1 x 1 meter square </w:t>
      </w:r>
      <w:r w:rsidR="00951BC1" w:rsidRPr="00555FC0">
        <w:rPr>
          <w:rFonts w:ascii="Arial" w:eastAsiaTheme="minorEastAsia" w:hAnsi="Arial" w:cs="Arial"/>
          <w:bCs/>
          <w:color w:val="000000" w:themeColor="text1"/>
          <w:kern w:val="24"/>
        </w:rPr>
        <w:t xml:space="preserve">Open Field Task, Elevated Zero Maze test, Novel Object recognition task, and Social Dominance Tube test) two months after irradiation. At 3 months after irradiation animals were allowed to explore a 1 meter </w:t>
      </w:r>
      <w:r w:rsidR="00951BC1">
        <w:rPr>
          <w:rFonts w:ascii="Arial" w:eastAsiaTheme="minorEastAsia" w:hAnsi="Arial" w:cs="Arial"/>
          <w:bCs/>
          <w:color w:val="000000" w:themeColor="text1"/>
          <w:kern w:val="24"/>
        </w:rPr>
        <w:t xml:space="preserve">diameter </w:t>
      </w:r>
      <w:r w:rsidR="00951BC1" w:rsidRPr="00555FC0">
        <w:rPr>
          <w:rFonts w:ascii="Arial" w:eastAsiaTheme="minorEastAsia" w:hAnsi="Arial" w:cs="Arial"/>
          <w:bCs/>
          <w:color w:val="000000" w:themeColor="text1"/>
          <w:kern w:val="24"/>
        </w:rPr>
        <w:t>open field for 30 min.</w:t>
      </w:r>
      <w:r w:rsidR="00951BC1">
        <w:rPr>
          <w:rFonts w:ascii="Arial" w:eastAsiaTheme="minorEastAsia" w:hAnsi="Arial" w:cs="Arial"/>
          <w:bCs/>
          <w:color w:val="000000" w:themeColor="text1"/>
          <w:kern w:val="24"/>
        </w:rPr>
        <w:t>to drive c-</w:t>
      </w:r>
      <w:proofErr w:type="spellStart"/>
      <w:r w:rsidR="00951BC1">
        <w:rPr>
          <w:rFonts w:ascii="Arial" w:eastAsiaTheme="minorEastAsia" w:hAnsi="Arial" w:cs="Arial"/>
          <w:bCs/>
          <w:color w:val="000000" w:themeColor="text1"/>
          <w:kern w:val="24"/>
        </w:rPr>
        <w:t>fos</w:t>
      </w:r>
      <w:proofErr w:type="spellEnd"/>
      <w:r w:rsidR="00951BC1">
        <w:rPr>
          <w:rFonts w:ascii="Arial" w:eastAsiaTheme="minorEastAsia" w:hAnsi="Arial" w:cs="Arial"/>
          <w:bCs/>
          <w:color w:val="000000" w:themeColor="text1"/>
          <w:kern w:val="24"/>
        </w:rPr>
        <w:t xml:space="preserve"> expression </w:t>
      </w:r>
      <w:r w:rsidR="00951BC1" w:rsidRPr="00555FC0">
        <w:rPr>
          <w:rFonts w:ascii="Arial" w:eastAsiaTheme="minorEastAsia" w:hAnsi="Arial" w:cs="Arial"/>
          <w:bCs/>
          <w:color w:val="000000" w:themeColor="text1"/>
          <w:kern w:val="24"/>
        </w:rPr>
        <w:t xml:space="preserve"> then euthanized at 90 min after completion of the task for brain extraction and fixation followed by antibody staining of the immediate early gene, c-</w:t>
      </w:r>
      <w:proofErr w:type="spellStart"/>
      <w:r w:rsidR="00951BC1" w:rsidRPr="00555FC0">
        <w:rPr>
          <w:rFonts w:ascii="Arial" w:eastAsiaTheme="minorEastAsia" w:hAnsi="Arial" w:cs="Arial"/>
          <w:bCs/>
          <w:color w:val="000000" w:themeColor="text1"/>
          <w:kern w:val="24"/>
        </w:rPr>
        <w:t>fos</w:t>
      </w:r>
      <w:proofErr w:type="spellEnd"/>
      <w:r w:rsidR="00951BC1" w:rsidRPr="00555FC0">
        <w:rPr>
          <w:rFonts w:ascii="Arial" w:eastAsiaTheme="minorEastAsia" w:hAnsi="Arial" w:cs="Arial"/>
          <w:bCs/>
          <w:color w:val="000000" w:themeColor="text1"/>
          <w:kern w:val="24"/>
        </w:rPr>
        <w:t xml:space="preserve">, which is expressed in activated neurons.  </w:t>
      </w:r>
    </w:p>
    <w:p w:rsidR="00C955F6" w:rsidRPr="00501892" w:rsidRDefault="009B65D6" w:rsidP="002A27B0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</w:pPr>
      <w:r w:rsidRPr="00501892">
        <w:rPr>
          <w:rFonts w:ascii="Arial" w:eastAsiaTheme="minorEastAsia" w:hAnsi="Arial" w:cs="Arial"/>
          <w:b/>
          <w:bCs/>
          <w:color w:val="000000" w:themeColor="text1"/>
          <w:kern w:val="24"/>
          <w:sz w:val="22"/>
          <w:szCs w:val="22"/>
        </w:rPr>
        <w:t>Results:</w:t>
      </w:r>
      <w:r w:rsidRPr="00501892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</w:t>
      </w:r>
      <w:r w:rsidR="002E16EF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PET imaging </w:t>
      </w:r>
      <w:r w:rsidR="00C955F6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analysis </w:t>
      </w:r>
      <w:r w:rsidR="002E16EF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revealed three </w:t>
      </w:r>
      <w:r w:rsidR="00C955F6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brain </w:t>
      </w:r>
      <w:r w:rsidR="002E16EF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regions</w:t>
      </w:r>
      <w:r w:rsidR="00C955F6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with statistically decreased mean SUV values in irradiated rats compared to controls; the entorhinal cortex (p=0.038), the ventral tegmental area (p=0.045</w:t>
      </w:r>
      <w:r w:rsidR="00CF2238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)</w:t>
      </w:r>
      <w:r w:rsidR="00C955F6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, and the substantia </w:t>
      </w:r>
      <w:proofErr w:type="spellStart"/>
      <w:r w:rsidR="00C955F6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nigra</w:t>
      </w:r>
      <w:proofErr w:type="spellEnd"/>
      <w:r w:rsidR="00C955F6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(p=.046). </w:t>
      </w:r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C-</w:t>
      </w:r>
      <w:proofErr w:type="spellStart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fos</w:t>
      </w:r>
      <w:proofErr w:type="spellEnd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imaging after open field </w:t>
      </w:r>
      <w:proofErr w:type="gramStart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exploration</w:t>
      </w:r>
      <w:proofErr w:type="gramEnd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showed significant decrements in c-</w:t>
      </w:r>
      <w:proofErr w:type="spellStart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fos</w:t>
      </w:r>
      <w:proofErr w:type="spellEnd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positive cells in hippocampus CA1 (p = 0.0014, t-test) and a trend in primary motor cortex (p = 0.08, t-test) but not in </w:t>
      </w:r>
      <w:proofErr w:type="spellStart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prelimbic</w:t>
      </w:r>
      <w:proofErr w:type="spellEnd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, cingulate and entorhinal cortex, dentate gyrus, amygdala or substantia </w:t>
      </w:r>
      <w:proofErr w:type="spellStart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nigra</w:t>
      </w:r>
      <w:proofErr w:type="spellEnd"/>
      <w:r w:rsidR="00EB392E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.  Open field and elevated zero mazes showed reduced movement and exploration in neutron-irradiated animals (P &lt; 0.03), while no statistically significant changes were observed for novel object recognition or social dominance.</w:t>
      </w:r>
    </w:p>
    <w:p w:rsidR="00792A9F" w:rsidRDefault="009B65D6" w:rsidP="00385FE8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</w:pPr>
      <w:r w:rsidRPr="00501892">
        <w:rPr>
          <w:rFonts w:ascii="Arial" w:eastAsiaTheme="minorEastAsia" w:hAnsi="Arial" w:cs="Arial"/>
          <w:b/>
          <w:bCs/>
          <w:color w:val="000000" w:themeColor="text1"/>
          <w:kern w:val="24"/>
          <w:sz w:val="22"/>
          <w:szCs w:val="22"/>
        </w:rPr>
        <w:t>Conclusion:</w:t>
      </w:r>
      <w:r w:rsidR="00AB7E87">
        <w:rPr>
          <w:rFonts w:ascii="Arial" w:eastAsiaTheme="minorEastAsia" w:hAnsi="Arial" w:cs="Arial"/>
          <w:b/>
          <w:bCs/>
          <w:color w:val="000000" w:themeColor="text1"/>
          <w:kern w:val="24"/>
          <w:sz w:val="22"/>
          <w:szCs w:val="22"/>
        </w:rPr>
        <w:t xml:space="preserve"> </w:t>
      </w:r>
      <w:r w:rsidR="00857A95" w:rsidRPr="00501892">
        <w:rPr>
          <w:rFonts w:ascii="Arial" w:eastAsiaTheme="minorEastAsia" w:hAnsi="Arial" w:cs="Arial"/>
          <w:bCs/>
          <w:color w:val="000000" w:themeColor="text1"/>
          <w:kern w:val="24"/>
          <w:vertAlign w:val="superscript"/>
        </w:rPr>
        <w:t>18</w:t>
      </w:r>
      <w:r w:rsidR="00857A95" w:rsidRPr="00501892">
        <w:rPr>
          <w:rFonts w:ascii="Arial" w:eastAsiaTheme="minorEastAsia" w:hAnsi="Arial" w:cs="Arial"/>
          <w:bCs/>
          <w:color w:val="000000" w:themeColor="text1"/>
          <w:kern w:val="24"/>
        </w:rPr>
        <w:t xml:space="preserve">F-UCB-H </w:t>
      </w:r>
      <w:r w:rsidR="001064A0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imaging revealed</w:t>
      </w:r>
      <w:r w:rsidR="00320D34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brain areas</w:t>
      </w:r>
      <w:r w:rsidR="0064151A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involved in motor, memory and behavior control</w:t>
      </w:r>
      <w:r w:rsidR="00320D34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with significantly decreased synaptic </w:t>
      </w:r>
      <w:r w:rsidR="00320D34" w:rsidRPr="00374DDB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density following </w:t>
      </w:r>
      <w:r w:rsid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c</w:t>
      </w:r>
      <w:r w:rsidR="00951BC1" w:rsidRPr="00EB0F99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hronic neutron exposure </w:t>
      </w:r>
      <w:r w:rsid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at 0.2 </w:t>
      </w:r>
      <w:proofErr w:type="spellStart"/>
      <w:r w:rsid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Gy</w:t>
      </w:r>
      <w:proofErr w:type="spellEnd"/>
      <w:r w:rsid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.</w:t>
      </w:r>
      <w:r w:rsidR="00857A95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</w:t>
      </w:r>
      <w:r w:rsidR="00792A9F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I</w:t>
      </w:r>
      <w:r w:rsid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rradiated rats also exhibited altered exploratory behavior and altered behaviorally-ind</w:t>
      </w:r>
      <w:r w:rsidR="00792A9F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uced c-</w:t>
      </w:r>
      <w:proofErr w:type="spellStart"/>
      <w:r w:rsidR="00792A9F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>fos</w:t>
      </w:r>
      <w:proofErr w:type="spellEnd"/>
      <w:r w:rsidR="00792A9F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expression. T</w:t>
      </w:r>
      <w:r w:rsidR="00951BC1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he brain regions associated with the various outcome measures were not well correlated. </w:t>
      </w:r>
      <w:r w:rsidR="00857A95"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  <w:t xml:space="preserve"> </w:t>
      </w:r>
    </w:p>
    <w:p w:rsidR="002A27B0" w:rsidRPr="00385FE8" w:rsidRDefault="009B65D6" w:rsidP="00385FE8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Cs/>
          <w:color w:val="000000" w:themeColor="text1"/>
          <w:kern w:val="24"/>
          <w:sz w:val="22"/>
          <w:szCs w:val="22"/>
        </w:rPr>
      </w:pPr>
      <w:r w:rsidRPr="00501892">
        <w:rPr>
          <w:rFonts w:ascii="Arial" w:eastAsiaTheme="minorEastAsia" w:hAnsi="Arial" w:cs="Arial"/>
          <w:b/>
          <w:bCs/>
          <w:iCs/>
          <w:kern w:val="24"/>
          <w:sz w:val="22"/>
          <w:szCs w:val="22"/>
        </w:rPr>
        <w:t>Acknowledgements:</w:t>
      </w:r>
      <w:r w:rsidRPr="00501892">
        <w:rPr>
          <w:rFonts w:ascii="Arial" w:eastAsiaTheme="minorEastAsia" w:hAnsi="Arial" w:cs="Arial"/>
          <w:bCs/>
          <w:iCs/>
          <w:kern w:val="24"/>
          <w:sz w:val="22"/>
          <w:szCs w:val="22"/>
        </w:rPr>
        <w:t xml:space="preserve"> </w:t>
      </w:r>
      <w:r w:rsidR="002A27B0" w:rsidRPr="00501892">
        <w:rPr>
          <w:rFonts w:ascii="Arial" w:eastAsiaTheme="minorEastAsia" w:hAnsi="Arial" w:cs="Arial"/>
          <w:bCs/>
          <w:iCs/>
          <w:kern w:val="24"/>
          <w:sz w:val="22"/>
          <w:szCs w:val="22"/>
        </w:rPr>
        <w:t>Supported by NASA Grant NNX15AI22G (to G.N.) &amp; Loma Linda Univ. School of Med. institutional support (to B.H.).</w:t>
      </w:r>
    </w:p>
    <w:bookmarkEnd w:id="0"/>
    <w:p w:rsidR="00C955F6" w:rsidRDefault="00C955F6" w:rsidP="009B65D6">
      <w:pPr>
        <w:pStyle w:val="NormalWeb"/>
        <w:spacing w:before="0" w:beforeAutospacing="0" w:after="0" w:afterAutospacing="0"/>
        <w:rPr>
          <w:rFonts w:ascii="Arial" w:eastAsiaTheme="minorEastAsia" w:hAnsi="Arial" w:cs="Arial"/>
          <w:bCs/>
          <w:iCs/>
          <w:kern w:val="24"/>
          <w:sz w:val="22"/>
          <w:szCs w:val="22"/>
        </w:rPr>
      </w:pPr>
    </w:p>
    <w:p w:rsidR="00C955F6" w:rsidRPr="00C955F6" w:rsidRDefault="00C955F6" w:rsidP="009B65D6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Cs/>
          <w:kern w:val="24"/>
          <w:sz w:val="22"/>
          <w:szCs w:val="22"/>
        </w:rPr>
      </w:pPr>
      <w:r w:rsidRPr="00C955F6">
        <w:rPr>
          <w:rFonts w:ascii="Arial" w:eastAsiaTheme="minorEastAsia" w:hAnsi="Arial" w:cs="Arial"/>
          <w:b/>
          <w:bCs/>
          <w:iCs/>
          <w:kern w:val="24"/>
          <w:sz w:val="22"/>
          <w:szCs w:val="22"/>
        </w:rPr>
        <w:t>Supporting Data:</w:t>
      </w:r>
    </w:p>
    <w:p w:rsidR="00C955F6" w:rsidRDefault="00C955F6" w:rsidP="009B65D6">
      <w:pPr>
        <w:pStyle w:val="NormalWeb"/>
        <w:spacing w:before="0" w:beforeAutospacing="0" w:after="0" w:afterAutospacing="0"/>
        <w:rPr>
          <w:rFonts w:ascii="Arial" w:eastAsiaTheme="minorEastAsia" w:hAnsi="Arial" w:cs="Arial"/>
          <w:bCs/>
          <w:iCs/>
          <w:kern w:val="24"/>
          <w:sz w:val="22"/>
          <w:szCs w:val="22"/>
        </w:rPr>
      </w:pPr>
    </w:p>
    <w:p w:rsidR="00C955F6" w:rsidRPr="00501892" w:rsidRDefault="00831052" w:rsidP="009B65D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B4DBAEA" wp14:editId="400858F5">
            <wp:extent cx="5133975" cy="655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ORTING DATA FOR ABSTRAC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15745" r="9135" b="7572"/>
                    <a:stretch/>
                  </pic:blipFill>
                  <pic:spPr bwMode="auto">
                    <a:xfrm>
                      <a:off x="0" y="0"/>
                      <a:ext cx="5133975" cy="6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D4E" w:rsidRDefault="00A91D4E" w:rsidP="00951BC1">
      <w:pPr>
        <w:rPr>
          <w:b/>
          <w:bCs/>
        </w:rPr>
      </w:pPr>
    </w:p>
    <w:p w:rsidR="00A91D4E" w:rsidRDefault="00A91D4E" w:rsidP="00951BC1">
      <w:pPr>
        <w:rPr>
          <w:b/>
          <w:bCs/>
        </w:rPr>
      </w:pPr>
    </w:p>
    <w:p w:rsidR="00A9204E" w:rsidRPr="00501892" w:rsidRDefault="00A9204E"/>
    <w:sectPr w:rsidR="00A9204E" w:rsidRPr="0050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5F6576"/>
    <w:multiLevelType w:val="hybridMultilevel"/>
    <w:tmpl w:val="4CC23F76"/>
    <w:lvl w:ilvl="0" w:tplc="F96896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DB61D8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1E849F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EC2D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C86ED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42649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8E685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FD22A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96632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B0"/>
    <w:rsid w:val="00012700"/>
    <w:rsid w:val="0004379A"/>
    <w:rsid w:val="000444C0"/>
    <w:rsid w:val="00061CE2"/>
    <w:rsid w:val="000807ED"/>
    <w:rsid w:val="001064A0"/>
    <w:rsid w:val="00157932"/>
    <w:rsid w:val="00213790"/>
    <w:rsid w:val="00234986"/>
    <w:rsid w:val="00254BFC"/>
    <w:rsid w:val="00277984"/>
    <w:rsid w:val="002A27B0"/>
    <w:rsid w:val="002E16EF"/>
    <w:rsid w:val="00320D34"/>
    <w:rsid w:val="00331023"/>
    <w:rsid w:val="00374DDB"/>
    <w:rsid w:val="00385FE8"/>
    <w:rsid w:val="003F6069"/>
    <w:rsid w:val="004910FB"/>
    <w:rsid w:val="004E3FEA"/>
    <w:rsid w:val="00501892"/>
    <w:rsid w:val="0064151A"/>
    <w:rsid w:val="00645252"/>
    <w:rsid w:val="006A0A25"/>
    <w:rsid w:val="006D3D74"/>
    <w:rsid w:val="006F5EA4"/>
    <w:rsid w:val="00715594"/>
    <w:rsid w:val="00785761"/>
    <w:rsid w:val="00792A9F"/>
    <w:rsid w:val="007B167A"/>
    <w:rsid w:val="00831052"/>
    <w:rsid w:val="00853212"/>
    <w:rsid w:val="00857A95"/>
    <w:rsid w:val="008721DC"/>
    <w:rsid w:val="00951BC1"/>
    <w:rsid w:val="009B65D6"/>
    <w:rsid w:val="009D0B0D"/>
    <w:rsid w:val="009D1B87"/>
    <w:rsid w:val="00A17908"/>
    <w:rsid w:val="00A53581"/>
    <w:rsid w:val="00A57C7E"/>
    <w:rsid w:val="00A91D4E"/>
    <w:rsid w:val="00A9204E"/>
    <w:rsid w:val="00AB7E87"/>
    <w:rsid w:val="00C454CD"/>
    <w:rsid w:val="00C61DD1"/>
    <w:rsid w:val="00C955F6"/>
    <w:rsid w:val="00CD138D"/>
    <w:rsid w:val="00CE3518"/>
    <w:rsid w:val="00CF2238"/>
    <w:rsid w:val="00D40E25"/>
    <w:rsid w:val="00E16B1F"/>
    <w:rsid w:val="00EA71C0"/>
    <w:rsid w:val="00EB392E"/>
    <w:rsid w:val="00F52718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7316"/>
  <w15:chartTrackingRefBased/>
  <w15:docId w15:val="{10ACDA30-38C2-4BCB-8E50-85711B1F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rmalWeb">
    <w:name w:val="Normal (Web)"/>
    <w:basedOn w:val="Normal"/>
    <w:uiPriority w:val="99"/>
    <w:unhideWhenUsed/>
    <w:rsid w:val="002A27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27B0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olsho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purl.org/dc/terms/"/>
    <ds:schemaRef ds:uri="4873beb7-5857-4685-be1f-d57550cc96cc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66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Holshouser, Barbara</dc:creator>
  <cp:keywords/>
  <dc:description/>
  <cp:lastModifiedBy>Holshouser, Barbara</cp:lastModifiedBy>
  <cp:revision>4</cp:revision>
  <dcterms:created xsi:type="dcterms:W3CDTF">2020-01-08T20:10:00Z</dcterms:created>
  <dcterms:modified xsi:type="dcterms:W3CDTF">2020-01-08T21:29:00Z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