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19"/>
        </w:rPr>
        <w:t>RQ1 Results. Adjacent-year elite-group stability in the LCK and LPL, 2018–2024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008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League</w:t>
            </w:r>
          </w:p>
        </w:tc>
        <w:tc>
          <w:tcPr>
            <w:tcW w:type="dxa" w:w="1656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Transition</w:t>
            </w:r>
          </w:p>
        </w:tc>
        <w:tc>
          <w:tcPr>
            <w:tcW w:type="dxa" w:w="1224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Elite N(t)</w:t>
            </w:r>
          </w:p>
        </w:tc>
        <w:tc>
          <w:tcPr>
            <w:tcW w:type="dxa" w:w="1296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Elite N(t+1)</w:t>
            </w:r>
          </w:p>
        </w:tc>
        <w:tc>
          <w:tcPr>
            <w:tcW w:type="dxa" w:w="1224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Retained N</w:t>
            </w:r>
          </w:p>
        </w:tc>
        <w:tc>
          <w:tcPr>
            <w:tcW w:type="dxa" w:w="1224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Jaccard</w:t>
            </w:r>
          </w:p>
        </w:tc>
        <w:tc>
          <w:tcPr>
            <w:tcW w:type="dxa" w:w="1296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Retention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2018–2019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34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33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0.241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0.382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2019–2020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33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18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0.383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0.545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2020–2021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32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44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0.382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0.656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2021–2022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44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25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0.410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0.568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2022–2023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42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27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0.529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0.643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2023–2024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24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0.500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0.667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2018–2019</w:t>
            </w:r>
          </w:p>
        </w:tc>
        <w:tc>
          <w:tcPr>
            <w:tcW w:type="dxa" w:w="1224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63</w:t>
            </w:r>
          </w:p>
        </w:tc>
        <w:tc>
          <w:tcPr>
            <w:tcW w:type="dxa" w:w="1296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63</w:t>
            </w:r>
          </w:p>
        </w:tc>
        <w:tc>
          <w:tcPr>
            <w:tcW w:type="dxa" w:w="1224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38</w:t>
            </w:r>
          </w:p>
        </w:tc>
        <w:tc>
          <w:tcPr>
            <w:tcW w:type="dxa" w:w="1224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0.432</w:t>
            </w:r>
          </w:p>
        </w:tc>
        <w:tc>
          <w:tcPr>
            <w:tcW w:type="dxa" w:w="1296"/>
            <w:vAlign w:val="center"/>
            <w:tcBorders>
              <w:top w:val="single" w:sz="4" w:color="A0A0A0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0.603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2019–2020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63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0.348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0.508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2020–2021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61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35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0.398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0.574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2021–2022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62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46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0.597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0.742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2022–2023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61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41</w:t>
            </w:r>
          </w:p>
        </w:tc>
        <w:tc>
          <w:tcPr>
            <w:tcW w:type="dxa" w:w="1224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0.512</w:t>
            </w:r>
          </w:p>
        </w:tc>
        <w:tc>
          <w:tcPr>
            <w:tcW w:type="dxa" w:w="1296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0.672</w:t>
            </w:r>
          </w:p>
        </w:tc>
      </w:tr>
      <w:tr>
        <w:tc>
          <w:tcPr>
            <w:tcW w:type="dxa" w:w="1008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65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2023–2024</w:t>
            </w:r>
          </w:p>
        </w:tc>
        <w:tc>
          <w:tcPr>
            <w:tcW w:type="dxa" w:w="1224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60</w:t>
            </w:r>
          </w:p>
        </w:tc>
        <w:tc>
          <w:tcPr>
            <w:tcW w:type="dxa" w:w="129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78</w:t>
            </w:r>
          </w:p>
        </w:tc>
        <w:tc>
          <w:tcPr>
            <w:tcW w:type="dxa" w:w="1224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44</w:t>
            </w:r>
          </w:p>
        </w:tc>
        <w:tc>
          <w:tcPr>
            <w:tcW w:type="dxa" w:w="1224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0.468</w:t>
            </w:r>
          </w:p>
        </w:tc>
        <w:tc>
          <w:tcPr>
            <w:tcW w:type="dxa" w:w="129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0.733</w:t>
            </w:r>
          </w:p>
        </w:tc>
      </w:tr>
    </w:tbl>
    <w:p>
      <w:pPr>
        <w:spacing w:before="100" w:after="40"/>
      </w:pPr>
      <w:r>
        <w:rPr>
          <w:rFonts w:ascii="Times New Roman" w:hAnsi="Times New Roman"/>
          <w:b/>
          <w:sz w:val="18"/>
        </w:rPr>
        <w:t>Period averages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League</w:t>
            </w:r>
          </w:p>
        </w:tc>
        <w:tc>
          <w:tcPr>
            <w:tcW w:type="dxa" w:w="1800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Mean Jaccard</w:t>
            </w:r>
          </w:p>
        </w:tc>
        <w:tc>
          <w:tcPr>
            <w:tcW w:type="dxa" w:w="1800"/>
            <w:vAlign w:val="center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Mean retention</w:t>
            </w:r>
          </w:p>
        </w:tc>
      </w:tr>
      <w:tr>
        <w:tc>
          <w:tcPr>
            <w:tcW w:type="dxa" w:w="1152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LCK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0.407</w:t>
            </w:r>
          </w:p>
        </w:tc>
        <w:tc>
          <w:tcPr>
            <w:tcW w:type="dxa" w:w="180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</w:tr>
      <w:tr>
        <w:tc>
          <w:tcPr>
            <w:tcW w:type="dxa" w:w="1152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LPL</w:t>
            </w:r>
          </w:p>
        </w:tc>
        <w:tc>
          <w:tcPr>
            <w:tcW w:type="dxa" w:w="180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0.459</w:t>
            </w:r>
          </w:p>
        </w:tc>
        <w:tc>
          <w:tcPr>
            <w:tcW w:type="dxa" w:w="180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0.639</w:t>
            </w:r>
          </w:p>
        </w:tc>
      </w:tr>
    </w:tbl>
    <w:p>
      <w:pPr>
        <w:spacing w:before="100" w:after="0"/>
      </w:pPr>
      <w:r>
        <w:rPr>
          <w:rFonts w:ascii="Times New Roman" w:hAnsi="Times New Roman"/>
          <w:sz w:val="15"/>
        </w:rPr>
        <w:t>Notes. Jaccard similarity equals the size of the intersection of adjacent annual elite sets divided by the size of their union. Retention equals the number of elite players retained in year t+1 divided by the elite-group size in year t. The annual elite set is the union of Spring and Summer playoff participants. Values are rounded to three decimal places.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