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93" w:rsidRDefault="00906893" w:rsidP="00407224">
      <w:pPr>
        <w:jc w:val="center"/>
        <w:outlineLvl w:val="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DOHODA O SPOLEČNÉM POSTUPU</w:t>
      </w:r>
    </w:p>
    <w:p w:rsidR="00906893" w:rsidRPr="008B1411" w:rsidRDefault="00906893" w:rsidP="00407224">
      <w:pPr>
        <w:jc w:val="center"/>
        <w:outlineLvl w:val="0"/>
        <w:rPr>
          <w:b/>
          <w:sz w:val="28"/>
          <w:szCs w:val="28"/>
        </w:rPr>
      </w:pPr>
    </w:p>
    <w:p w:rsidR="00906893" w:rsidRPr="008B1411" w:rsidRDefault="00906893" w:rsidP="00407224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Pr="008B1411">
        <w:rPr>
          <w:b/>
          <w:sz w:val="28"/>
          <w:szCs w:val="28"/>
        </w:rPr>
        <w:t>Letter of Intent</w:t>
      </w:r>
      <w:r>
        <w:rPr>
          <w:b/>
          <w:sz w:val="28"/>
          <w:szCs w:val="28"/>
        </w:rPr>
        <w:t>)</w:t>
      </w:r>
    </w:p>
    <w:p w:rsidR="00906893" w:rsidRPr="008B1411" w:rsidRDefault="00906893" w:rsidP="00833033">
      <w:pPr>
        <w:jc w:val="center"/>
        <w:rPr>
          <w:b/>
          <w:sz w:val="28"/>
          <w:szCs w:val="28"/>
        </w:rPr>
      </w:pPr>
    </w:p>
    <w:p w:rsidR="00906893" w:rsidRPr="008B1411" w:rsidRDefault="00906893" w:rsidP="00833033"/>
    <w:p w:rsidR="00906893" w:rsidRPr="008B1411" w:rsidRDefault="00906893" w:rsidP="00833033"/>
    <w:p w:rsidR="00906893" w:rsidRDefault="00906893" w:rsidP="00833033"/>
    <w:p w:rsidR="00906893" w:rsidRPr="008B1411" w:rsidRDefault="00906893" w:rsidP="00833033">
      <w:r w:rsidRPr="008B1411">
        <w:t>Účastníci:</w:t>
      </w:r>
    </w:p>
    <w:p w:rsidR="00906893" w:rsidRPr="008B1411" w:rsidRDefault="00906893" w:rsidP="00833033"/>
    <w:p w:rsidR="00906893" w:rsidRDefault="00906893" w:rsidP="00395A4A">
      <w:pPr>
        <w:ind w:right="659"/>
        <w:rPr>
          <w:rStyle w:val="Strong"/>
          <w:bCs/>
        </w:rPr>
      </w:pPr>
      <w:r>
        <w:rPr>
          <w:rStyle w:val="Strong"/>
          <w:bCs/>
        </w:rPr>
        <w:t>eMoneyServices s.r.o.</w:t>
      </w:r>
    </w:p>
    <w:p w:rsidR="00906893" w:rsidRPr="00395A4A" w:rsidRDefault="00906893" w:rsidP="00395A4A">
      <w:r>
        <w:t>se sídlem Petrská 1426/1</w:t>
      </w:r>
      <w:r w:rsidRPr="00395A4A">
        <w:t xml:space="preserve">, </w:t>
      </w:r>
      <w:r>
        <w:t xml:space="preserve">Praha 1, PSČ 110 00, IČO: </w:t>
      </w:r>
      <w:r w:rsidRPr="00395A4A">
        <w:t>241</w:t>
      </w:r>
      <w:r>
        <w:t xml:space="preserve"> </w:t>
      </w:r>
      <w:r w:rsidRPr="00395A4A">
        <w:t>87</w:t>
      </w:r>
      <w:r>
        <w:t xml:space="preserve"> </w:t>
      </w:r>
      <w:r w:rsidRPr="00395A4A">
        <w:t xml:space="preserve">933, zapsaná v obchodním rejstříku Městského soudu v Praze v oddíle C, vložka 186877, </w:t>
      </w:r>
      <w:r>
        <w:t>zastoupené</w:t>
      </w:r>
      <w:r w:rsidRPr="00395A4A">
        <w:t xml:space="preserve"> </w:t>
      </w:r>
    </w:p>
    <w:p w:rsidR="00906893" w:rsidRPr="00C31C0A" w:rsidRDefault="00906893" w:rsidP="00C31C0A">
      <w:r w:rsidRPr="00C31C0A">
        <w:t>Michal</w:t>
      </w:r>
      <w:r>
        <w:t>em</w:t>
      </w:r>
      <w:r w:rsidRPr="00C31C0A">
        <w:t xml:space="preserve"> Šilhák</w:t>
      </w:r>
      <w:r>
        <w:t>em,</w:t>
      </w:r>
      <w:r w:rsidRPr="00C31C0A">
        <w:t xml:space="preserve"> </w:t>
      </w:r>
      <w:r>
        <w:t>j</w:t>
      </w:r>
      <w:r w:rsidRPr="00C31C0A">
        <w:t>ednatel</w:t>
      </w:r>
      <w:r>
        <w:t>em společnosti</w:t>
      </w:r>
    </w:p>
    <w:p w:rsidR="00906893" w:rsidRDefault="00906893" w:rsidP="00833033"/>
    <w:p w:rsidR="00906893" w:rsidRPr="008B1411" w:rsidRDefault="00906893" w:rsidP="00833033">
      <w:r>
        <w:t>(</w:t>
      </w:r>
      <w:r w:rsidRPr="008B1411">
        <w:rPr>
          <w:rStyle w:val="platne1"/>
        </w:rPr>
        <w:t xml:space="preserve">dále jen </w:t>
      </w:r>
      <w:r w:rsidRPr="008B1411">
        <w:t>"</w:t>
      </w:r>
      <w:r w:rsidRPr="001352C7">
        <w:rPr>
          <w:b/>
        </w:rPr>
        <w:t>EM</w:t>
      </w:r>
      <w:r>
        <w:rPr>
          <w:b/>
        </w:rPr>
        <w:t>S</w:t>
      </w:r>
      <w:r w:rsidRPr="008B1411">
        <w:t>")</w:t>
      </w:r>
    </w:p>
    <w:p w:rsidR="00906893" w:rsidRDefault="00906893" w:rsidP="00833033"/>
    <w:p w:rsidR="00906893" w:rsidRDefault="00906893" w:rsidP="00833033">
      <w:r>
        <w:t>a</w:t>
      </w:r>
    </w:p>
    <w:p w:rsidR="00906893" w:rsidRDefault="00906893" w:rsidP="00833033"/>
    <w:p w:rsidR="00906893" w:rsidRPr="00395A4A" w:rsidRDefault="00906893" w:rsidP="00833033">
      <w:pPr>
        <w:rPr>
          <w:b/>
        </w:rPr>
      </w:pPr>
      <w:r w:rsidRPr="00395A4A">
        <w:rPr>
          <w:b/>
        </w:rPr>
        <w:t>Hlavní město Praha</w:t>
      </w:r>
    </w:p>
    <w:p w:rsidR="00906893" w:rsidRDefault="00906893" w:rsidP="005B47D7">
      <w:r w:rsidRPr="005B47D7">
        <w:t>se sídlem Praha 1, Mariánské nám. 2/2, PSČ 110 01</w:t>
      </w:r>
      <w:r>
        <w:t xml:space="preserve">, </w:t>
      </w:r>
      <w:r w:rsidRPr="005B47D7">
        <w:t>IČ</w:t>
      </w:r>
      <w:r>
        <w:t>O</w:t>
      </w:r>
      <w:r w:rsidRPr="005B47D7">
        <w:t>: 000</w:t>
      </w:r>
      <w:r>
        <w:t xml:space="preserve"> </w:t>
      </w:r>
      <w:r w:rsidRPr="005B47D7">
        <w:t>64</w:t>
      </w:r>
      <w:r>
        <w:t xml:space="preserve"> </w:t>
      </w:r>
      <w:r w:rsidRPr="005B47D7">
        <w:t xml:space="preserve">581, </w:t>
      </w:r>
      <w:r>
        <w:t>zastoupené</w:t>
      </w:r>
    </w:p>
    <w:p w:rsidR="00906893" w:rsidRDefault="00906893" w:rsidP="005B47D7">
      <w:r>
        <w:t>Evou Vorlíčkovou, radní a</w:t>
      </w:r>
    </w:p>
    <w:p w:rsidR="00906893" w:rsidRPr="005B47D7" w:rsidRDefault="00906893" w:rsidP="005B47D7">
      <w:r>
        <w:t>Jiřím Vávrou, I. náměstkem primátora</w:t>
      </w:r>
    </w:p>
    <w:p w:rsidR="00906893" w:rsidRDefault="00906893" w:rsidP="00833033"/>
    <w:p w:rsidR="00906893" w:rsidRPr="008B1411" w:rsidRDefault="00906893" w:rsidP="00833033">
      <w:r>
        <w:t>(</w:t>
      </w:r>
      <w:r w:rsidRPr="008B1411">
        <w:rPr>
          <w:rStyle w:val="platne1"/>
        </w:rPr>
        <w:t xml:space="preserve">dále jen </w:t>
      </w:r>
      <w:r w:rsidRPr="008B1411">
        <w:t>"</w:t>
      </w:r>
      <w:r w:rsidRPr="001352C7">
        <w:rPr>
          <w:b/>
        </w:rPr>
        <w:t>HMP</w:t>
      </w:r>
      <w:r w:rsidRPr="008B1411">
        <w:t>")</w:t>
      </w:r>
    </w:p>
    <w:p w:rsidR="00906893" w:rsidRPr="008B1411" w:rsidRDefault="00906893" w:rsidP="00833033"/>
    <w:p w:rsidR="00906893" w:rsidRPr="008B1411" w:rsidRDefault="00906893" w:rsidP="00833033">
      <w:r>
        <w:t>(dále společně také jako „</w:t>
      </w:r>
      <w:r w:rsidRPr="001352C7">
        <w:rPr>
          <w:b/>
        </w:rPr>
        <w:t>účastníci</w:t>
      </w:r>
      <w:r>
        <w:t>“)</w:t>
      </w:r>
    </w:p>
    <w:p w:rsidR="00906893" w:rsidRPr="008B1411" w:rsidRDefault="00906893" w:rsidP="00833033"/>
    <w:p w:rsidR="00906893" w:rsidRDefault="00906893" w:rsidP="00833033"/>
    <w:p w:rsidR="00906893" w:rsidRDefault="00906893" w:rsidP="00833033"/>
    <w:p w:rsidR="00906893" w:rsidRDefault="00906893" w:rsidP="00833033"/>
    <w:p w:rsidR="00906893" w:rsidRPr="00255EAD" w:rsidRDefault="00906893" w:rsidP="00255EAD">
      <w:pPr>
        <w:jc w:val="center"/>
        <w:rPr>
          <w:b/>
        </w:rPr>
      </w:pPr>
      <w:r>
        <w:rPr>
          <w:b/>
        </w:rPr>
        <w:t>Preambule</w:t>
      </w:r>
    </w:p>
    <w:p w:rsidR="00906893" w:rsidRDefault="00906893" w:rsidP="00833033"/>
    <w:p w:rsidR="00906893" w:rsidRDefault="00906893" w:rsidP="00833033">
      <w:r>
        <w:t>VZHLEDEM K TOMU, ŽE:</w:t>
      </w:r>
    </w:p>
    <w:p w:rsidR="00906893" w:rsidRDefault="00906893" w:rsidP="00833033"/>
    <w:p w:rsidR="00906893" w:rsidRDefault="00906893" w:rsidP="00395A4A">
      <w:pPr>
        <w:numPr>
          <w:ilvl w:val="0"/>
          <w:numId w:val="5"/>
        </w:numPr>
        <w:ind w:left="426"/>
      </w:pPr>
      <w:r>
        <w:t>EMS nabyla na základě Smlouvy o prodeji části podniku uzavřené dne 31.10.2012 mezi EMS jako kupujícím a společností HAGUESS, a.s., se sídlem Průhonice, Na Michovkách I. 686, PSČ 252 43, IČO: 250 85 166 („</w:t>
      </w:r>
      <w:r>
        <w:rPr>
          <w:b/>
        </w:rPr>
        <w:t>HAGUESS</w:t>
      </w:r>
      <w:r>
        <w:t>“), jako prodávajícím, část podniku od právě uvedeného prodávajícího;</w:t>
      </w:r>
    </w:p>
    <w:p w:rsidR="00906893" w:rsidRDefault="00906893" w:rsidP="00E50307"/>
    <w:p w:rsidR="00906893" w:rsidRDefault="00906893" w:rsidP="00395A4A">
      <w:pPr>
        <w:numPr>
          <w:ilvl w:val="0"/>
          <w:numId w:val="5"/>
        </w:numPr>
        <w:ind w:left="426"/>
      </w:pPr>
      <w:r>
        <w:t>V důsledku nabytí části podniku uvedené výše v bodě A) této Preambule převzala EMS na místo společnosti HAGUESS jako poskytovatele mimo jiné práva a povinnosti ze smluvního vztahu s HMP založeného Smlouvou o poskytování základní podpory programového vybavení uzavřenou dne 6.4.2012 (dále také jen „</w:t>
      </w:r>
      <w:r w:rsidRPr="001352C7">
        <w:rPr>
          <w:b/>
        </w:rPr>
        <w:t>Smlouva o poskytování podpory</w:t>
      </w:r>
      <w:r>
        <w:rPr>
          <w:b/>
        </w:rPr>
        <w:t xml:space="preserve"> HMP</w:t>
      </w:r>
      <w:r>
        <w:t>“) a ze smluvního vztahu založeného Smlouvou o poskytování rozšířené podpory programového vybavení uzavřenou rovněž dne 6.4.2012 (dále také jen „</w:t>
      </w:r>
      <w:r w:rsidRPr="001352C7">
        <w:rPr>
          <w:b/>
        </w:rPr>
        <w:t xml:space="preserve">Smlouva o </w:t>
      </w:r>
      <w:r w:rsidRPr="0085567E">
        <w:rPr>
          <w:b/>
        </w:rPr>
        <w:t>poskytování rozšíření podpory programového vybavení</w:t>
      </w:r>
      <w:r>
        <w:rPr>
          <w:b/>
        </w:rPr>
        <w:t xml:space="preserve"> HMP</w:t>
      </w:r>
      <w:r>
        <w:t>“);</w:t>
      </w:r>
    </w:p>
    <w:p w:rsidR="00906893" w:rsidRDefault="00906893">
      <w:pPr>
        <w:pStyle w:val="Stednmka1zvraznn21"/>
      </w:pPr>
    </w:p>
    <w:p w:rsidR="00906893" w:rsidRDefault="00906893" w:rsidP="001352C7">
      <w:pPr>
        <w:numPr>
          <w:ilvl w:val="0"/>
          <w:numId w:val="5"/>
        </w:numPr>
        <w:ind w:left="426"/>
      </w:pPr>
      <w:r>
        <w:t>Na základě Smlouvy o poskytování podpory HMP (jakož i obdobně na základě Smlouvy o poskytování rozšíření podpory programového vybavení HMP) je EMS povinna poskytovat ve prospěch HMP a za úplatu služby vymezené v článku 2. Smlouvy o poskytování podpory HMP, přičemž tyto služby se vztahují k provozu Pražského centra kartových služeb (dále jen „</w:t>
      </w:r>
      <w:r w:rsidRPr="001352C7">
        <w:rPr>
          <w:b/>
        </w:rPr>
        <w:t>PCKS</w:t>
      </w:r>
      <w:r>
        <w:t>“), zejména pak k podpoře při provozování softwarového vybavení zajišťujícího chod PCKS, přičemž Smlouva o poskytování podpory HMP byla uzavřena na dobu do 6.4.2014;</w:t>
      </w:r>
    </w:p>
    <w:p w:rsidR="00906893" w:rsidRDefault="00906893" w:rsidP="005419BF">
      <w:pPr>
        <w:pStyle w:val="Barevnseznamzvraznn11"/>
      </w:pPr>
    </w:p>
    <w:p w:rsidR="00906893" w:rsidRDefault="00906893">
      <w:pPr>
        <w:ind w:left="426"/>
      </w:pPr>
    </w:p>
    <w:p w:rsidR="00906893" w:rsidRDefault="00906893" w:rsidP="0068030D">
      <w:pPr>
        <w:numPr>
          <w:ilvl w:val="0"/>
          <w:numId w:val="5"/>
        </w:numPr>
        <w:ind w:left="426"/>
      </w:pPr>
      <w:r>
        <w:t xml:space="preserve">V důsledku nabytí části podniku uvedené výše v bodě A) této Preambule převzala EMS na místo společnosti HAGUESS jako poskytovatele mimo jiné práva a povinnosti ze smluvního vztahu s DPP založeného </w:t>
      </w:r>
      <w:r w:rsidRPr="000C5F8A">
        <w:t xml:space="preserve">Smlouvu o poskytování základní podpory programového vybavení </w:t>
      </w:r>
      <w:r>
        <w:t>uzavřenou dne 21.12.2012 (dále také jen „</w:t>
      </w:r>
      <w:r w:rsidRPr="001352C7">
        <w:rPr>
          <w:b/>
        </w:rPr>
        <w:t>Smlouva o poskytování podpory</w:t>
      </w:r>
      <w:r>
        <w:rPr>
          <w:b/>
        </w:rPr>
        <w:t xml:space="preserve"> DPP</w:t>
      </w:r>
      <w:r>
        <w:t xml:space="preserve">“) a ze smluvního vztahu založeného </w:t>
      </w:r>
      <w:r w:rsidRPr="000C5F8A">
        <w:t>Smlouvu o poskytování rozšířené podpory programového vybavení</w:t>
      </w:r>
      <w:r>
        <w:t xml:space="preserve"> uzavřenou rovněž dne 21.12.2012 (dále také jen „</w:t>
      </w:r>
      <w:r w:rsidRPr="001352C7">
        <w:rPr>
          <w:b/>
        </w:rPr>
        <w:t xml:space="preserve">Smlouva o </w:t>
      </w:r>
      <w:r w:rsidRPr="0085567E">
        <w:rPr>
          <w:b/>
        </w:rPr>
        <w:t>poskytování rozšíření podpory programového vybavení</w:t>
      </w:r>
      <w:r>
        <w:rPr>
          <w:b/>
        </w:rPr>
        <w:t xml:space="preserve"> DPP</w:t>
      </w:r>
      <w:r>
        <w:t>“);</w:t>
      </w:r>
    </w:p>
    <w:p w:rsidR="00906893" w:rsidRDefault="00906893" w:rsidP="005419BF"/>
    <w:p w:rsidR="00906893" w:rsidRDefault="00906893" w:rsidP="0068030D">
      <w:pPr>
        <w:numPr>
          <w:ilvl w:val="0"/>
          <w:numId w:val="5"/>
        </w:numPr>
        <w:ind w:left="426"/>
      </w:pPr>
      <w:r>
        <w:t>Na základě Smlouvy o poskytování podpory DPP (jakož i obdobně na základě Smlouvy o poskytování rozšíření podpory programového vybavení DPP uvedené rovněž v předchozím bodě D) této Preambule) je EMS povinna poskytovat ve prospěch DPP a za úplatu služby vymezené v článku 2. Smlouvy o poskytování podpory DPP, přičemž tyto služby se vztahují k provozu Dopravního odbavovacího systému (dále jen „</w:t>
      </w:r>
      <w:r>
        <w:rPr>
          <w:b/>
        </w:rPr>
        <w:t>DOS</w:t>
      </w:r>
      <w:r>
        <w:t>“), zejména pak k podpoře při provozování softwarového vybavení zajišťujícího chod DOS, přičemž Smlouva o poskytování podpory DPP byla uzavřena na dobu do 31.12.2014;</w:t>
      </w:r>
    </w:p>
    <w:p w:rsidR="00906893" w:rsidRDefault="00906893" w:rsidP="001352C7">
      <w:pPr>
        <w:pStyle w:val="Stednmka1zvraznn21"/>
      </w:pPr>
    </w:p>
    <w:p w:rsidR="00906893" w:rsidRDefault="00906893" w:rsidP="001352C7">
      <w:pPr>
        <w:numPr>
          <w:ilvl w:val="0"/>
          <w:numId w:val="5"/>
        </w:numPr>
        <w:ind w:left="426"/>
      </w:pPr>
      <w:r>
        <w:t xml:space="preserve">V důsledku nabytí části podniku uvedené výše v bodě A) této Preambule převzala EMS na místo společnosti HAGUESS jako poskytovatele práva a povinnosti ze smluvních vztahů s HMP založených licenčními a dalšími smlouvami, uvedenými v </w:t>
      </w:r>
      <w:r w:rsidRPr="005419BF">
        <w:rPr>
          <w:b/>
        </w:rPr>
        <w:t>Příloze č. 1</w:t>
      </w:r>
      <w:r>
        <w:t>, když na základě uvedených smluv poskytuje EMS  ve prospěch HMP licence k užití softwarového vybavení zajišťujícího chod PCKS;</w:t>
      </w:r>
    </w:p>
    <w:p w:rsidR="00906893" w:rsidRDefault="00906893">
      <w:pPr>
        <w:pStyle w:val="Barevnseznamzvraznn11"/>
      </w:pPr>
    </w:p>
    <w:p w:rsidR="00906893" w:rsidRPr="0083493C" w:rsidRDefault="00906893" w:rsidP="001352C7">
      <w:pPr>
        <w:numPr>
          <w:ilvl w:val="0"/>
          <w:numId w:val="5"/>
        </w:numPr>
        <w:ind w:left="426"/>
      </w:pPr>
      <w:r>
        <w:t xml:space="preserve">V důsledku nabytí části podniku uvedené výše v bodě A) této Preambule převzala EMS na místo společnosti HAGUESS, a.s. jako poskytovatele práva a povinnosti ze smluvních vztahů s DPP založených licenčními a dalšími smlouvami, uvedenými v </w:t>
      </w:r>
      <w:r w:rsidRPr="005419BF">
        <w:rPr>
          <w:b/>
        </w:rPr>
        <w:t>Příloze č. 2</w:t>
      </w:r>
      <w:r>
        <w:t xml:space="preserve">, když na základě uvedených smluv poskytuje EMS </w:t>
      </w:r>
      <w:r w:rsidRPr="002B29F0">
        <w:t xml:space="preserve">ve prospěch DPP licence k užití softwarového vybavení zajišťujícího chod </w:t>
      </w:r>
      <w:r w:rsidRPr="004F1FC4">
        <w:t>D</w:t>
      </w:r>
      <w:r w:rsidRPr="0083493C">
        <w:t>OS</w:t>
      </w:r>
      <w:r>
        <w:t>;</w:t>
      </w:r>
    </w:p>
    <w:p w:rsidR="00906893" w:rsidRDefault="00906893" w:rsidP="004C0BF8">
      <w:pPr>
        <w:pStyle w:val="Stednmka1zvraznn21"/>
      </w:pPr>
    </w:p>
    <w:p w:rsidR="00906893" w:rsidRDefault="00906893" w:rsidP="001352C7">
      <w:pPr>
        <w:numPr>
          <w:ilvl w:val="0"/>
          <w:numId w:val="5"/>
        </w:numPr>
        <w:ind w:left="426"/>
      </w:pPr>
      <w:r>
        <w:t>HMP zvažuje provedení transformace projektu „Opencard“ způsobem popsaným níže;</w:t>
      </w:r>
    </w:p>
    <w:p w:rsidR="00906893" w:rsidRDefault="00906893">
      <w:pPr>
        <w:pStyle w:val="Stednmka1zvraznn21"/>
      </w:pPr>
    </w:p>
    <w:p w:rsidR="00906893" w:rsidRPr="0083493C" w:rsidRDefault="00906893" w:rsidP="001352C7">
      <w:pPr>
        <w:numPr>
          <w:ilvl w:val="0"/>
          <w:numId w:val="5"/>
        </w:numPr>
        <w:ind w:left="426"/>
      </w:pPr>
      <w:r>
        <w:t>Účastníci hodlají do budoucna spolupracovat na tom, aby HMP, či jím určený subjekt, mohlo i nadále účinně využívat a dále rozvíjet uvedené programové vybavení a účastníci hodlají rovněž smírně řešit veškeré případné neshody související s vypořádáním některých práv;</w:t>
      </w:r>
    </w:p>
    <w:p w:rsidR="00906893" w:rsidRDefault="00906893">
      <w:pPr>
        <w:pStyle w:val="Stednmka1zvraznn21"/>
      </w:pPr>
    </w:p>
    <w:p w:rsidR="00906893" w:rsidRDefault="00906893" w:rsidP="004C0BF8">
      <w:r>
        <w:t>ROZHODLI SE ÚČASTNÍCI UZAVŘÍT TUTO DOHODU O SPOLEČNÉM POSTUPU (Letter of intent – „</w:t>
      </w:r>
      <w:r w:rsidRPr="00DE5051">
        <w:rPr>
          <w:b/>
        </w:rPr>
        <w:t>LOI</w:t>
      </w:r>
      <w:r>
        <w:t>“).</w:t>
      </w:r>
    </w:p>
    <w:p w:rsidR="00906893" w:rsidRDefault="00906893" w:rsidP="00832509"/>
    <w:p w:rsidR="00906893" w:rsidRDefault="00906893" w:rsidP="00833033"/>
    <w:p w:rsidR="00906893" w:rsidRPr="00255EAD" w:rsidRDefault="00906893" w:rsidP="00C051B4">
      <w:pPr>
        <w:numPr>
          <w:ilvl w:val="0"/>
          <w:numId w:val="8"/>
        </w:numPr>
        <w:jc w:val="center"/>
        <w:rPr>
          <w:b/>
        </w:rPr>
      </w:pPr>
      <w:r>
        <w:rPr>
          <w:b/>
        </w:rPr>
        <w:t>Prohlášení HMP</w:t>
      </w:r>
    </w:p>
    <w:p w:rsidR="00906893" w:rsidRDefault="00906893">
      <w:pPr>
        <w:pStyle w:val="Stednmka1zvraznn21"/>
      </w:pPr>
    </w:p>
    <w:p w:rsidR="00906893" w:rsidRDefault="00906893" w:rsidP="00C051B4">
      <w:pPr>
        <w:pStyle w:val="Stednmka1zvraznn21"/>
        <w:numPr>
          <w:ilvl w:val="0"/>
          <w:numId w:val="7"/>
        </w:numPr>
      </w:pPr>
      <w:r>
        <w:t xml:space="preserve">HMP tímto prohlašuje, že rozdělení systému PCKS a projektu Opencard mezi vícero odborů HMP a další instituce (kdy </w:t>
      </w:r>
      <w:r w:rsidRPr="00204ACB">
        <w:t xml:space="preserve">Dopravní podnik hl.m.Prahy (DPP) provozuje a rozvíjí </w:t>
      </w:r>
      <w:r>
        <w:t>DOS</w:t>
      </w:r>
      <w:r w:rsidRPr="00204ACB">
        <w:t xml:space="preserve">, zatímco různé odbory magistrátu </w:t>
      </w:r>
      <w:r>
        <w:t>HMP</w:t>
      </w:r>
      <w:r w:rsidRPr="00204ACB">
        <w:t xml:space="preserve"> provozují a rozvíjejí správu držitelů a ostatní aplikace</w:t>
      </w:r>
      <w:r>
        <w:t>) považuje za neúčelné a je toho názoru, že toto uspořádání má negativná dopady na další vývoj projektu</w:t>
      </w:r>
      <w:r w:rsidRPr="00204ACB">
        <w:t>, kde celkový rozvoj je v důsledku oddělených funkčností dopravní</w:t>
      </w:r>
      <w:r>
        <w:t xml:space="preserve"> aplikace </w:t>
      </w:r>
      <w:r w:rsidRPr="00204ACB">
        <w:t xml:space="preserve">a ostatních aplikací </w:t>
      </w:r>
      <w:r>
        <w:t xml:space="preserve">v rámci software pro zajišťujícího provoz Opencard </w:t>
      </w:r>
      <w:r w:rsidRPr="00204ACB">
        <w:t>velmi komplikovaný a náročný na jednání mezi správci (DPP a MHMP) navzájem a dále i vůči dodavatelům</w:t>
      </w:r>
      <w:r>
        <w:t xml:space="preserve"> služeb s tím souvisejících, a to rovněž z toho důvodu, že provoz dílčích aplikací je předmětem samostatných smluv uzavřených vždy mezi dotčeným provozovatelem a poskytovatelem služeb s dílčí aplikací souvisejících.</w:t>
      </w:r>
    </w:p>
    <w:p w:rsidR="00906893" w:rsidRDefault="00906893">
      <w:pPr>
        <w:pStyle w:val="Stednmka1zvraznn21"/>
        <w:ind w:left="1068"/>
      </w:pPr>
    </w:p>
    <w:p w:rsidR="00906893" w:rsidRDefault="00906893">
      <w:pPr>
        <w:pStyle w:val="Stednmka1zvraznn21"/>
        <w:numPr>
          <w:ilvl w:val="0"/>
          <w:numId w:val="7"/>
        </w:numPr>
      </w:pPr>
      <w:r>
        <w:t>V návaznosti na v předchozím bodě 1. uvedené HMP dále prohlašuje, že vypracovalo záměr nahradit popsaný provozní model projektu „Opencard“ takovým provozním modelem, v jehož rámci by veškeré činnosti a služby zajišťované ve prospěch koncových uživatelů projektu „Opencard“ byly zajišťovány jediným subjektem. Takto nově vymezený provozní model by dále umožnil HMP navázat spolupráci se strategickým partnerem, který by byl připraven s HMP při provozu projektu „Opencard“ jako systému dopravně-municipální karty spolupracovat.</w:t>
      </w:r>
    </w:p>
    <w:p w:rsidR="00906893" w:rsidRDefault="00906893">
      <w:pPr>
        <w:pStyle w:val="Stednmka1zvraznn21"/>
        <w:ind w:left="0"/>
      </w:pPr>
    </w:p>
    <w:p w:rsidR="00906893" w:rsidRDefault="00906893" w:rsidP="00C051B4">
      <w:pPr>
        <w:pStyle w:val="Stednmka1zvraznn21"/>
        <w:numPr>
          <w:ilvl w:val="0"/>
          <w:numId w:val="7"/>
        </w:numPr>
      </w:pPr>
      <w:r>
        <w:t>Dlouhodobým záměrem HMP je tak provedení takových organizačních změn v rámci systému PCKS, DOS a v rámci chodu projektu „Opencard“, které soustředí veškeré činnosti s tím související u jednoho provozovatele s tím, že následně předpokládá realizaci zadávacího řízení v souladu s přísl. ustanoveními zákona č. 137/2006 Sb., o veřejných zakázkách (např. v podobě soutěžního dialogu či otevřené soutěže ze straně HMP jako zadavatele resp. uvedeného jednotného provozovatele jako zadavatele), jehož výsledkem bude výběr strategického partnera pro účely projektu „Opencard“.</w:t>
      </w:r>
    </w:p>
    <w:p w:rsidR="00906893" w:rsidRDefault="00906893">
      <w:pPr>
        <w:pStyle w:val="Stednmka1zvraznn21"/>
      </w:pPr>
    </w:p>
    <w:p w:rsidR="00906893" w:rsidRDefault="00906893">
      <w:pPr>
        <w:pStyle w:val="Stednmka1zvraznn21"/>
        <w:numPr>
          <w:ilvl w:val="0"/>
          <w:numId w:val="7"/>
        </w:numPr>
      </w:pPr>
      <w:r>
        <w:t>V návaznosti na výše uvedené hodlá tak HMP učinit veškeré nezbytné kroky směřující k tomu, aby byly veškeré provozní činnosti související s projektem „Opencard“ soustředěny do jednoho subjektu a aby bylo následně možné realizovat  zadávací řízení týkající se výběru strategického partnera pro výkon těchto činností.</w:t>
      </w:r>
    </w:p>
    <w:p w:rsidR="00906893" w:rsidRDefault="00906893">
      <w:pPr>
        <w:pStyle w:val="Stednmka1zvraznn21"/>
      </w:pPr>
    </w:p>
    <w:p w:rsidR="00906893" w:rsidRDefault="00906893">
      <w:pPr>
        <w:pStyle w:val="Stednmka1zvraznn21"/>
        <w:numPr>
          <w:ilvl w:val="0"/>
          <w:numId w:val="7"/>
        </w:numPr>
      </w:pPr>
      <w:r>
        <w:t>HMP tak hodlá založit obchodní společnost, jejímž bude HMP jediným společníkem či akcionářem, přičemž na tuto společnost zamýšlí HMP přenést v maximální možné míře veškeré činnosti související s provozem projektu „Opencard“.</w:t>
      </w:r>
    </w:p>
    <w:p w:rsidR="00906893" w:rsidRDefault="00906893">
      <w:pPr>
        <w:pStyle w:val="Stednmka1zvraznn21"/>
      </w:pPr>
    </w:p>
    <w:p w:rsidR="00906893" w:rsidRDefault="00906893">
      <w:pPr>
        <w:pStyle w:val="Stednmka1zvraznn21"/>
        <w:ind w:left="0"/>
      </w:pPr>
    </w:p>
    <w:p w:rsidR="00906893" w:rsidRDefault="00906893">
      <w:pPr>
        <w:pStyle w:val="Stednmka1zvraznn21"/>
      </w:pPr>
    </w:p>
    <w:p w:rsidR="00906893" w:rsidRPr="00255EAD" w:rsidRDefault="00906893" w:rsidP="00C051B4">
      <w:pPr>
        <w:numPr>
          <w:ilvl w:val="0"/>
          <w:numId w:val="8"/>
        </w:numPr>
        <w:jc w:val="center"/>
        <w:rPr>
          <w:b/>
        </w:rPr>
      </w:pPr>
      <w:r>
        <w:rPr>
          <w:b/>
        </w:rPr>
        <w:t>Prohlášení EMS</w:t>
      </w:r>
    </w:p>
    <w:p w:rsidR="00906893" w:rsidRDefault="00906893" w:rsidP="00C051B4">
      <w:pPr>
        <w:pStyle w:val="Stednmka1zvraznn21"/>
      </w:pPr>
    </w:p>
    <w:p w:rsidR="00906893" w:rsidRDefault="00906893" w:rsidP="00C051B4">
      <w:pPr>
        <w:pStyle w:val="Stednmka1zvraznn21"/>
        <w:numPr>
          <w:ilvl w:val="0"/>
          <w:numId w:val="9"/>
        </w:numPr>
      </w:pPr>
      <w:r>
        <w:t>EMS prohlašuje, že bere na vědomí záměr HMP provést v rámci chodu projektu „Opencard“ organizační změny popsané výše v článku I. tohoto LOI.</w:t>
      </w:r>
    </w:p>
    <w:p w:rsidR="00906893" w:rsidRDefault="00906893" w:rsidP="00C051B4">
      <w:pPr>
        <w:pStyle w:val="Stednmka1zvraznn21"/>
        <w:ind w:left="1068"/>
      </w:pPr>
    </w:p>
    <w:p w:rsidR="00906893" w:rsidRDefault="00906893" w:rsidP="00C051B4">
      <w:pPr>
        <w:pStyle w:val="Stednmka1zvraznn21"/>
        <w:numPr>
          <w:ilvl w:val="0"/>
          <w:numId w:val="9"/>
        </w:numPr>
      </w:pPr>
      <w:r>
        <w:t>EMS rovněž prohlašuje, že ve prospěch HMP vypracovalo a HMP předalo „Analýzu řešení transformace projektu Opencard“, přičemž z uvedené analýzy vyplývá, že záměr HMP sjednotit relevantní činnosti pod jednoho provozovatele popsaný v článku I. tohoto LOI odpovídá i názoru EMS na vhodné a hospodárné uspořádání chodu projektu a EMS  je připraveno za určitých podmínek na uvedené transformaci spolupracovat.</w:t>
      </w:r>
    </w:p>
    <w:p w:rsidR="00906893" w:rsidRDefault="00906893">
      <w:pPr>
        <w:pStyle w:val="Stednmka1zvraznn21"/>
      </w:pPr>
    </w:p>
    <w:p w:rsidR="00906893" w:rsidRDefault="00906893" w:rsidP="00C051B4">
      <w:pPr>
        <w:pStyle w:val="Stednmka1zvraznn21"/>
        <w:numPr>
          <w:ilvl w:val="0"/>
          <w:numId w:val="9"/>
        </w:numPr>
      </w:pPr>
      <w:r>
        <w:t>EMS uvádí, že část jeho podnikatelských aktivit souvisí s poskytování služeb ve prospěch HMP jakož i ve prospěch DPP (na základě smluv uvedených v Preambuli k tomuto LOI) v přímé souvislosti s projektem „Opencard“, přičemž takto označené činnosti a prostředky v rámci společnosti EMS lze vymezit jako samostatné a oddělitelné organizační uskupení, celek. Vzhledem k dlouhodobému záměru HMP popsanému výše v článku I. tohoto LOI je přitom EMS připraveno nabídnout ve prospěch HMP úplatný převod prostředků a zdrojů souvisejících s poskytováním těchto služeb takovým způsobem, aby zamýšlený jednotný provozovatel celého projektu „Opencard“ mohl provozní činnosti zajišťované v současné době na základě Smlouvy o poskytování podpory HMP a Smlouvy o poskytování podpory DPP realizovat samostatně bez využití EMS či jiných dodavatelů.</w:t>
      </w:r>
    </w:p>
    <w:p w:rsidR="00906893" w:rsidRDefault="00906893">
      <w:pPr>
        <w:pStyle w:val="Stednmka1zvraznn21"/>
      </w:pPr>
    </w:p>
    <w:p w:rsidR="00906893" w:rsidRDefault="00906893" w:rsidP="00C051B4">
      <w:pPr>
        <w:pStyle w:val="Stednmka1zvraznn21"/>
        <w:numPr>
          <w:ilvl w:val="0"/>
          <w:numId w:val="9"/>
        </w:numPr>
      </w:pPr>
      <w:r>
        <w:t>EMS</w:t>
      </w:r>
      <w:r w:rsidRPr="009A630E">
        <w:t xml:space="preserve"> dále uvádí, že s přihlédnutím k počtu doposud vydaných uživatelských karet v rámci projektu „Opencard“ eviduje za HMP</w:t>
      </w:r>
      <w:r w:rsidRPr="00EF51AD">
        <w:t xml:space="preserve"> a DPP doposud nevyúčtované pohledávky na úplatu licenční odměny ze smluv uvedených v bodu </w:t>
      </w:r>
      <w:r w:rsidRPr="005419BF">
        <w:t>F</w:t>
      </w:r>
      <w:r w:rsidRPr="0083493C">
        <w:t xml:space="preserve">) </w:t>
      </w:r>
      <w:r w:rsidRPr="009A630E">
        <w:t>a</w:t>
      </w:r>
      <w:r>
        <w:t xml:space="preserve"> G) Preambule k tomuto LOI.</w:t>
      </w:r>
    </w:p>
    <w:p w:rsidR="00906893" w:rsidRDefault="00906893">
      <w:pPr>
        <w:pStyle w:val="Stednmka1zvraznn21"/>
      </w:pPr>
    </w:p>
    <w:p w:rsidR="00906893" w:rsidRDefault="00906893" w:rsidP="00C051B4">
      <w:pPr>
        <w:pStyle w:val="Stednmka1zvraznn21"/>
        <w:numPr>
          <w:ilvl w:val="0"/>
          <w:numId w:val="9"/>
        </w:numPr>
      </w:pPr>
      <w:r>
        <w:t xml:space="preserve">S přihlédnutím k záměru HMP uvedenému v článku I. EMS dále výslovně prohlašuje, že je připraveno poskytnout ve prospěch určeného jednotného provozovatele služby spočívající v takových úpravách v současnosti využívaného softwarového vybavení PCKS a DOS, na jejichž základě dojde na ke vzniku zcela samostatného softwarového vybavení výlučně v majetku osoby určené ze strany HMP, které bude poskytovat technickou platformu pro případný vstup strategického partnera a ke kterému rovněž EMS sestaví a za sjednaných podmínek předá úplnou dokumentaci umožňující budoucí úpravy tohoto softwarového vybavení ze strany případného strategického partnera. </w:t>
      </w:r>
    </w:p>
    <w:p w:rsidR="00906893" w:rsidRDefault="00906893">
      <w:pPr>
        <w:pStyle w:val="Stednmka1zvraznn21"/>
      </w:pPr>
    </w:p>
    <w:p w:rsidR="00906893" w:rsidRDefault="00906893">
      <w:pPr>
        <w:pStyle w:val="Stednmka1zvraznn21"/>
      </w:pPr>
    </w:p>
    <w:p w:rsidR="00906893" w:rsidRDefault="00906893" w:rsidP="00C051B4">
      <w:pPr>
        <w:numPr>
          <w:ilvl w:val="0"/>
          <w:numId w:val="8"/>
        </w:numPr>
        <w:jc w:val="center"/>
        <w:rPr>
          <w:b/>
        </w:rPr>
      </w:pPr>
      <w:r>
        <w:rPr>
          <w:b/>
        </w:rPr>
        <w:t>Prohlášení účastníků o společném jednání</w:t>
      </w:r>
    </w:p>
    <w:p w:rsidR="00906893" w:rsidRPr="00255EAD" w:rsidRDefault="00906893" w:rsidP="00C051B4">
      <w:pPr>
        <w:jc w:val="center"/>
        <w:rPr>
          <w:b/>
        </w:rPr>
      </w:pPr>
    </w:p>
    <w:p w:rsidR="00906893" w:rsidRDefault="00906893" w:rsidP="005F33BF">
      <w:pPr>
        <w:pStyle w:val="Stednmka1zvraznn21"/>
      </w:pPr>
      <w:r>
        <w:t xml:space="preserve">V návaznosti na skutečnosti uvedené v Preambuli k tomuto LOI jakož i v  návaznosti na záměr HMP popsaný v článku I. tohoto LOI a s přihlédnutím ke skutečnostem a připravenosti EMS, jak jsou tyto uvedeny v článku II tohoto LOI, prohlašují smluvní strany, že bez zbytečného odkladu po uzavření tohoto LOI zahájí jednání týkající se jejich případné spolupráce, a to v následujícím rozsahu: </w:t>
      </w:r>
    </w:p>
    <w:p w:rsidR="00906893" w:rsidRDefault="00906893">
      <w:pPr>
        <w:pStyle w:val="Stednmka1zvraznn21"/>
        <w:ind w:left="1068"/>
      </w:pPr>
    </w:p>
    <w:p w:rsidR="00906893" w:rsidRDefault="00906893" w:rsidP="00C051B4">
      <w:pPr>
        <w:pStyle w:val="Stednmka1zvraznn21"/>
        <w:numPr>
          <w:ilvl w:val="0"/>
          <w:numId w:val="10"/>
        </w:numPr>
      </w:pPr>
      <w:r>
        <w:t>Účastníci projednají právní důvod a rozsah tvrzených práv a pohledávek EMS, jak jsou tyto uvedeny v článku I. bodě 4. tohoto LOI a v případě shody na existenci a rozsahu těchto pohledávek projednají způsob jejich úhrady, a to případně i s ohledem na ujednání obsažené v bodě 3. tohoto článku.</w:t>
      </w:r>
    </w:p>
    <w:p w:rsidR="00906893" w:rsidRDefault="00906893">
      <w:pPr>
        <w:pStyle w:val="Stednmka1zvraznn21"/>
      </w:pPr>
    </w:p>
    <w:p w:rsidR="00906893" w:rsidRDefault="00906893">
      <w:pPr>
        <w:pStyle w:val="Stednmka1zvraznn21"/>
        <w:numPr>
          <w:ilvl w:val="0"/>
          <w:numId w:val="10"/>
        </w:numPr>
      </w:pPr>
      <w:r>
        <w:t>Vzhledem k tomu, že HMP a DPP v současnosti pro zajištění komplexního chodu projektu „Opencard“ využívá softwarového vybavení poskytovaného na základě příslušných licenčních dohod ze strany EMS, jakož i vzhledem k tomu, že další využití, úpravy či nahrazení tohoto softwarového vybavení by mělo být výsledkem zadávacího řízení popsaného v rámci článku I. bodu 3. tohoto LOI, projednají smluvní strany předloženou nabídku EMS na poskytnutí služby popsané v článku II. bodu 5. tohoto LOI tak, aby HMP mohlo analyzovat možnost zajištění dalšího chodu a nutnost případného rozvoje stávajícího programového vybavení sloužícího v rámci projektu „Opencard“ po dobu, než dojde k výběru strategického partnera ve smyslu článku I. bodu 4. tohoto LOI.</w:t>
      </w:r>
    </w:p>
    <w:p w:rsidR="00906893" w:rsidRDefault="00906893">
      <w:pPr>
        <w:pStyle w:val="Stednmka1zvraznn21"/>
      </w:pPr>
    </w:p>
    <w:p w:rsidR="00906893" w:rsidRDefault="00906893" w:rsidP="00C051B4">
      <w:pPr>
        <w:pStyle w:val="Stednmka1zvraznn21"/>
        <w:numPr>
          <w:ilvl w:val="0"/>
          <w:numId w:val="10"/>
        </w:numPr>
      </w:pPr>
      <w:r>
        <w:t xml:space="preserve">Vzhledem k tomu, že pro zajištění dalšího chodu projektu „Opencard“ je nezbytné rovněž zajistit zdárnou funkčnost stávajícího softwarového vybavení uvedeného v bodě C) a E) Preambule, jak je v současnosti tato funkčnost zajištěna i ze strany EMS  na základě Smlouvy o poskytování podpory HMP a Smlouvy o poskytování podpory DPP, projednají smluvní strany rovněž možnost úplatného nabytí prostředků a zdrojů EMS používaných v současnosti za účelem poskytování provozních služeb v souvislosti s projektem „Opencard“, a to úplatného nabytí ze strany HMP označeným jednotným provozovatelem.. </w:t>
      </w:r>
    </w:p>
    <w:p w:rsidR="00906893" w:rsidRDefault="00906893">
      <w:pPr>
        <w:pStyle w:val="Stednmka1zvraznn21"/>
      </w:pPr>
    </w:p>
    <w:p w:rsidR="00906893" w:rsidRDefault="00906893" w:rsidP="00C051B4">
      <w:pPr>
        <w:pStyle w:val="Stednmka1zvraznn21"/>
        <w:numPr>
          <w:ilvl w:val="0"/>
          <w:numId w:val="10"/>
        </w:numPr>
      </w:pPr>
      <w:r>
        <w:t xml:space="preserve">Účastníci prohlašují, že veškerá vzájemná jednání popsaná v bodech 1. až 3. tohoto článku hodlají realizovat v nejbližší budoucnosti tak, aby byly na straně HMP splněny potřebné předpoklady pro rozhodnutí o dalším postupu při zajištění dalšího provozu projektu „Opencard“ s dostatečným předstihem před koncem doby poskytování služeb EMS na základě Smlouvy o poskytování podpory HMP. </w:t>
      </w:r>
    </w:p>
    <w:p w:rsidR="00906893" w:rsidRDefault="00906893" w:rsidP="007E472E">
      <w:pPr>
        <w:pStyle w:val="Stednmka1zvraznn21"/>
        <w:ind w:left="0"/>
      </w:pPr>
    </w:p>
    <w:p w:rsidR="00906893" w:rsidRDefault="00906893" w:rsidP="007E472E">
      <w:pPr>
        <w:pStyle w:val="Stednmka1zvraznn21"/>
      </w:pPr>
    </w:p>
    <w:p w:rsidR="00906893" w:rsidRDefault="00906893">
      <w:pPr>
        <w:pStyle w:val="Stednmka1zvraznn21"/>
      </w:pPr>
    </w:p>
    <w:p w:rsidR="00906893" w:rsidRDefault="00906893" w:rsidP="00C051B4">
      <w:pPr>
        <w:numPr>
          <w:ilvl w:val="0"/>
          <w:numId w:val="8"/>
        </w:numPr>
        <w:jc w:val="center"/>
        <w:rPr>
          <w:b/>
        </w:rPr>
      </w:pPr>
      <w:bookmarkStart w:id="1" w:name="_DV_M36"/>
      <w:bookmarkEnd w:id="1"/>
      <w:r w:rsidRPr="00C051B4">
        <w:rPr>
          <w:b/>
        </w:rPr>
        <w:t>Doba trvání a výpověď</w:t>
      </w:r>
    </w:p>
    <w:p w:rsidR="00906893" w:rsidRPr="00C051B4" w:rsidRDefault="00906893" w:rsidP="00C051B4">
      <w:pPr>
        <w:ind w:left="1080"/>
        <w:rPr>
          <w:b/>
        </w:rPr>
      </w:pPr>
    </w:p>
    <w:p w:rsidR="00906893" w:rsidRDefault="00906893">
      <w:pPr>
        <w:pStyle w:val="Stednmka1zvraznn21"/>
        <w:numPr>
          <w:ilvl w:val="0"/>
          <w:numId w:val="14"/>
        </w:numPr>
      </w:pPr>
      <w:bookmarkStart w:id="2" w:name="_DV_M37"/>
      <w:bookmarkEnd w:id="2"/>
      <w:r>
        <w:t>Každý z</w:t>
      </w:r>
      <w:r w:rsidRPr="00C051B4">
        <w:t xml:space="preserve"> </w:t>
      </w:r>
      <w:r>
        <w:t>účastníků je oprávněn</w:t>
      </w:r>
      <w:r w:rsidRPr="00C051B4">
        <w:t xml:space="preserve"> toto </w:t>
      </w:r>
      <w:r>
        <w:t>LOI</w:t>
      </w:r>
      <w:r w:rsidRPr="00C051B4">
        <w:t xml:space="preserve"> </w:t>
      </w:r>
      <w:r>
        <w:t>vypovědět písemnou výpovědí s</w:t>
      </w:r>
      <w:r w:rsidRPr="00C051B4">
        <w:t xml:space="preserve"> </w:t>
      </w:r>
      <w:r>
        <w:t>jednoměsíční</w:t>
      </w:r>
      <w:r w:rsidRPr="00C051B4">
        <w:t xml:space="preserve"> výpovědní lhůtou. </w:t>
      </w:r>
    </w:p>
    <w:p w:rsidR="00906893" w:rsidRDefault="00906893">
      <w:pPr>
        <w:pStyle w:val="Stednmka1zvraznn21"/>
        <w:ind w:left="1068"/>
      </w:pPr>
    </w:p>
    <w:p w:rsidR="00906893" w:rsidRDefault="00906893">
      <w:pPr>
        <w:pStyle w:val="Stednmka1zvraznn21"/>
        <w:numPr>
          <w:ilvl w:val="0"/>
          <w:numId w:val="14"/>
        </w:numPr>
      </w:pPr>
      <w:bookmarkStart w:id="3" w:name="_DV_M38"/>
      <w:bookmarkEnd w:id="3"/>
      <w:r w:rsidRPr="00C051B4">
        <w:t xml:space="preserve">Nebude-li toto </w:t>
      </w:r>
      <w:r>
        <w:t>LOI</w:t>
      </w:r>
      <w:r w:rsidRPr="00C051B4">
        <w:t xml:space="preserve"> vypovězeno</w:t>
      </w:r>
      <w:r>
        <w:t>, zaniká automaticky ke dni 2</w:t>
      </w:r>
      <w:r w:rsidRPr="00C051B4">
        <w:t>.</w:t>
      </w:r>
      <w:r>
        <w:t>4.2014</w:t>
      </w:r>
      <w:r w:rsidRPr="00C051B4">
        <w:t xml:space="preserve">, pokud se </w:t>
      </w:r>
      <w:r>
        <w:t>účastníci</w:t>
      </w:r>
      <w:r w:rsidRPr="00C051B4">
        <w:t xml:space="preserve"> písemně nedohodnou </w:t>
      </w:r>
      <w:r>
        <w:t xml:space="preserve">jinak. </w:t>
      </w:r>
    </w:p>
    <w:p w:rsidR="00906893" w:rsidRDefault="00906893">
      <w:pPr>
        <w:pStyle w:val="Stednmka1zvraznn21"/>
      </w:pPr>
    </w:p>
    <w:p w:rsidR="00906893" w:rsidRDefault="00906893">
      <w:pPr>
        <w:pStyle w:val="Stednmka1zvraznn21"/>
        <w:numPr>
          <w:ilvl w:val="0"/>
          <w:numId w:val="14"/>
        </w:numPr>
      </w:pPr>
      <w:bookmarkStart w:id="4" w:name="_DV_M39"/>
      <w:bookmarkEnd w:id="4"/>
      <w:r>
        <w:t xml:space="preserve">Ani jeden z účastníků </w:t>
      </w:r>
      <w:r w:rsidRPr="00C051B4">
        <w:t xml:space="preserve">nebude mít po ukončení tohoto </w:t>
      </w:r>
      <w:r>
        <w:t>LOI</w:t>
      </w:r>
      <w:r w:rsidRPr="00C051B4">
        <w:t xml:space="preserve"> jakýchkoliv závazků či povinností v souvislosti s tímto </w:t>
      </w:r>
      <w:r>
        <w:t>LOI</w:t>
      </w:r>
      <w:r w:rsidRPr="00C051B4">
        <w:t xml:space="preserve">. Pro odstranění všech pochybností smluvní strany výslovně sjednávají, že v souvislosti s ukončením tohoto </w:t>
      </w:r>
      <w:r>
        <w:t>LOI</w:t>
      </w:r>
      <w:r w:rsidRPr="00C051B4">
        <w:t xml:space="preserve"> nevznikne nárok na úhradu jakékoliv smluvní pokuty či odstupného. </w:t>
      </w:r>
    </w:p>
    <w:p w:rsidR="00906893" w:rsidRDefault="00906893">
      <w:pPr>
        <w:pStyle w:val="Stednmka1zvraznn21"/>
        <w:ind w:left="1068"/>
      </w:pPr>
      <w:bookmarkStart w:id="5" w:name="_DV_M40"/>
      <w:bookmarkEnd w:id="5"/>
    </w:p>
    <w:p w:rsidR="00906893" w:rsidRPr="00872387" w:rsidRDefault="00906893" w:rsidP="00C051B4">
      <w:pPr>
        <w:pStyle w:val="BlockText"/>
        <w:spacing w:before="0" w:after="0" w:line="280" w:lineRule="exact"/>
        <w:ind w:left="0" w:right="0"/>
        <w:rPr>
          <w:rFonts w:ascii="Arial" w:hAnsi="Arial" w:cs="Arial"/>
          <w:b/>
          <w:color w:val="000000"/>
          <w:lang w:val="cs-CZ"/>
        </w:rPr>
      </w:pPr>
      <w:bookmarkStart w:id="6" w:name="_DV_M41"/>
      <w:bookmarkStart w:id="7" w:name="_DV_M42"/>
      <w:bookmarkStart w:id="8" w:name="_DV_M48"/>
      <w:bookmarkEnd w:id="6"/>
      <w:bookmarkEnd w:id="7"/>
      <w:bookmarkEnd w:id="8"/>
    </w:p>
    <w:p w:rsidR="00906893" w:rsidRDefault="00906893" w:rsidP="00C051B4">
      <w:pPr>
        <w:numPr>
          <w:ilvl w:val="0"/>
          <w:numId w:val="8"/>
        </w:numPr>
        <w:jc w:val="center"/>
        <w:rPr>
          <w:b/>
        </w:rPr>
      </w:pPr>
      <w:r w:rsidRPr="00C051B4">
        <w:rPr>
          <w:b/>
        </w:rPr>
        <w:t>Oznámení a souhlasy</w:t>
      </w:r>
    </w:p>
    <w:p w:rsidR="00906893" w:rsidRPr="00C051B4" w:rsidRDefault="00906893" w:rsidP="00C051B4">
      <w:pPr>
        <w:ind w:left="1080"/>
        <w:rPr>
          <w:b/>
        </w:rPr>
      </w:pPr>
    </w:p>
    <w:p w:rsidR="00906893" w:rsidRDefault="00906893">
      <w:pPr>
        <w:pStyle w:val="Stednmka1zvraznn21"/>
        <w:numPr>
          <w:ilvl w:val="0"/>
          <w:numId w:val="15"/>
        </w:numPr>
      </w:pPr>
      <w:r w:rsidRPr="00C051B4">
        <w:t xml:space="preserve">Jakékoliv oznámení činěné mezi </w:t>
      </w:r>
      <w:r>
        <w:t>účastníky</w:t>
      </w:r>
      <w:r w:rsidRPr="00C051B4">
        <w:t xml:space="preserve"> v souvislosti s tímto </w:t>
      </w:r>
      <w:r>
        <w:t>LOI</w:t>
      </w:r>
      <w:r w:rsidRPr="00C051B4">
        <w:t xml:space="preserve"> musí být učiněno písemně a adresováno dále uvedeným odpovědným osobám příslušné strany a na dále uvedenou adresu: </w:t>
      </w:r>
    </w:p>
    <w:p w:rsidR="00906893" w:rsidRPr="00C051B4" w:rsidRDefault="00906893" w:rsidP="00C051B4">
      <w:pPr>
        <w:spacing w:before="120" w:line="280" w:lineRule="exact"/>
        <w:ind w:left="720" w:firstLine="348"/>
        <w:rPr>
          <w:b/>
          <w:color w:val="000000"/>
        </w:rPr>
      </w:pPr>
      <w:bookmarkStart w:id="9" w:name="_DV_M50"/>
      <w:bookmarkEnd w:id="9"/>
      <w:r w:rsidRPr="00C051B4">
        <w:rPr>
          <w:b/>
          <w:color w:val="000000"/>
        </w:rPr>
        <w:t>Oznámení pro HMP:</w:t>
      </w:r>
    </w:p>
    <w:p w:rsidR="00906893" w:rsidRPr="00C051B4" w:rsidRDefault="00906893" w:rsidP="00C051B4">
      <w:pPr>
        <w:spacing w:before="120" w:line="280" w:lineRule="exact"/>
        <w:ind w:left="720" w:firstLine="348"/>
        <w:rPr>
          <w:color w:val="000000"/>
        </w:rPr>
      </w:pPr>
      <w:bookmarkStart w:id="10" w:name="_DV_M51"/>
      <w:bookmarkEnd w:id="10"/>
      <w:r w:rsidRPr="00C051B4">
        <w:rPr>
          <w:color w:val="000000"/>
        </w:rPr>
        <w:t xml:space="preserve">Jméno: </w:t>
      </w:r>
      <w:r>
        <w:rPr>
          <w:color w:val="000000"/>
        </w:rPr>
        <w:t>Jan Vašíček</w:t>
      </w:r>
    </w:p>
    <w:p w:rsidR="00906893" w:rsidRPr="00C051B4" w:rsidRDefault="00906893" w:rsidP="00C051B4">
      <w:pPr>
        <w:spacing w:line="280" w:lineRule="exact"/>
        <w:ind w:left="717" w:firstLine="351"/>
        <w:rPr>
          <w:color w:val="000000"/>
        </w:rPr>
      </w:pPr>
      <w:bookmarkStart w:id="11" w:name="_DV_M52"/>
      <w:bookmarkEnd w:id="11"/>
      <w:r w:rsidRPr="00C051B4">
        <w:rPr>
          <w:color w:val="000000"/>
        </w:rPr>
        <w:t xml:space="preserve">Další údaje: </w:t>
      </w:r>
      <w:r>
        <w:rPr>
          <w:color w:val="000000"/>
        </w:rPr>
        <w:t>radní</w:t>
      </w:r>
    </w:p>
    <w:p w:rsidR="00906893" w:rsidRPr="00C051B4" w:rsidRDefault="00906893" w:rsidP="00C051B4">
      <w:pPr>
        <w:spacing w:line="280" w:lineRule="exact"/>
        <w:ind w:left="717" w:firstLine="351"/>
        <w:rPr>
          <w:color w:val="000000"/>
        </w:rPr>
      </w:pPr>
      <w:bookmarkStart w:id="12" w:name="_DV_M53"/>
      <w:bookmarkEnd w:id="12"/>
      <w:r w:rsidRPr="00C051B4">
        <w:rPr>
          <w:color w:val="000000"/>
        </w:rPr>
        <w:t xml:space="preserve">Email: </w:t>
      </w:r>
      <w:r w:rsidRPr="007E472E">
        <w:rPr>
          <w:color w:val="000000"/>
        </w:rPr>
        <w:t xml:space="preserve">Jan.Vasicek@praha.eu </w:t>
      </w:r>
    </w:p>
    <w:p w:rsidR="00906893" w:rsidRPr="00C051B4" w:rsidRDefault="00906893" w:rsidP="00C051B4">
      <w:pPr>
        <w:spacing w:line="280" w:lineRule="exact"/>
        <w:ind w:left="717" w:firstLine="351"/>
        <w:rPr>
          <w:b/>
          <w:color w:val="000000"/>
        </w:rPr>
      </w:pPr>
      <w:bookmarkStart w:id="13" w:name="_DV_M54"/>
      <w:bookmarkEnd w:id="13"/>
      <w:r w:rsidRPr="00C051B4">
        <w:rPr>
          <w:color w:val="000000"/>
        </w:rPr>
        <w:t>Adresa: Mariánské náměstí 2/2, Praha 1 – Staré Město 110 00</w:t>
      </w:r>
    </w:p>
    <w:p w:rsidR="00906893" w:rsidRPr="00C051B4" w:rsidRDefault="00906893" w:rsidP="00C051B4">
      <w:pPr>
        <w:spacing w:before="120" w:line="280" w:lineRule="exact"/>
        <w:ind w:left="720" w:firstLine="348"/>
        <w:rPr>
          <w:b/>
          <w:color w:val="000000"/>
        </w:rPr>
      </w:pPr>
      <w:bookmarkStart w:id="14" w:name="_DV_M55"/>
      <w:bookmarkEnd w:id="14"/>
      <w:r w:rsidRPr="00C051B4">
        <w:rPr>
          <w:b/>
          <w:color w:val="000000"/>
        </w:rPr>
        <w:t xml:space="preserve">Oznámení pro </w:t>
      </w:r>
      <w:r>
        <w:rPr>
          <w:b/>
          <w:color w:val="000000"/>
        </w:rPr>
        <w:t>EMS</w:t>
      </w:r>
      <w:r w:rsidRPr="00C051B4">
        <w:rPr>
          <w:b/>
          <w:color w:val="000000"/>
        </w:rPr>
        <w:t>:</w:t>
      </w:r>
    </w:p>
    <w:p w:rsidR="00906893" w:rsidRPr="00C051B4" w:rsidRDefault="00906893" w:rsidP="00C051B4">
      <w:pPr>
        <w:spacing w:before="120" w:line="280" w:lineRule="exact"/>
        <w:ind w:left="720" w:firstLine="348"/>
        <w:rPr>
          <w:color w:val="000000"/>
        </w:rPr>
      </w:pPr>
      <w:bookmarkStart w:id="15" w:name="_DV_M56"/>
      <w:bookmarkEnd w:id="15"/>
      <w:r w:rsidRPr="00C051B4">
        <w:rPr>
          <w:color w:val="000000"/>
        </w:rPr>
        <w:t xml:space="preserve">Jméno: </w:t>
      </w:r>
      <w:r w:rsidRPr="00C31C0A">
        <w:t>Michal Šilhák</w:t>
      </w:r>
    </w:p>
    <w:p w:rsidR="00906893" w:rsidRPr="00C051B4" w:rsidRDefault="00906893" w:rsidP="00C051B4">
      <w:pPr>
        <w:spacing w:line="280" w:lineRule="exact"/>
        <w:ind w:left="717" w:firstLine="351"/>
        <w:rPr>
          <w:color w:val="000000"/>
        </w:rPr>
      </w:pPr>
      <w:bookmarkStart w:id="16" w:name="_DV_M57"/>
      <w:bookmarkEnd w:id="16"/>
      <w:r w:rsidRPr="00C051B4">
        <w:rPr>
          <w:color w:val="000000"/>
        </w:rPr>
        <w:t xml:space="preserve">Další údaje: </w:t>
      </w:r>
      <w:r>
        <w:rPr>
          <w:color w:val="000000"/>
        </w:rPr>
        <w:t>jednatel</w:t>
      </w:r>
    </w:p>
    <w:p w:rsidR="00906893" w:rsidRPr="007E472E" w:rsidRDefault="00906893" w:rsidP="00C051B4">
      <w:pPr>
        <w:spacing w:line="280" w:lineRule="exact"/>
        <w:ind w:left="717" w:firstLine="351"/>
        <w:rPr>
          <w:color w:val="000000"/>
        </w:rPr>
      </w:pPr>
      <w:bookmarkStart w:id="17" w:name="_DV_M58"/>
      <w:bookmarkEnd w:id="17"/>
      <w:r w:rsidRPr="00C051B4">
        <w:rPr>
          <w:color w:val="000000"/>
        </w:rPr>
        <w:t xml:space="preserve">Email: </w:t>
      </w:r>
      <w:r w:rsidRPr="007E472E">
        <w:rPr>
          <w:color w:val="000000"/>
        </w:rPr>
        <w:t>michal.silhak@emoneyventures.com</w:t>
      </w:r>
    </w:p>
    <w:p w:rsidR="00906893" w:rsidRPr="00C051B4" w:rsidRDefault="00906893" w:rsidP="00C051B4">
      <w:pPr>
        <w:spacing w:line="280" w:lineRule="exact"/>
        <w:ind w:left="717" w:firstLine="351"/>
        <w:rPr>
          <w:b/>
          <w:color w:val="000000"/>
        </w:rPr>
      </w:pPr>
      <w:r w:rsidRPr="00C051B4">
        <w:rPr>
          <w:color w:val="000000"/>
        </w:rPr>
        <w:t xml:space="preserve">Adresa: </w:t>
      </w:r>
      <w:r>
        <w:rPr>
          <w:color w:val="000000"/>
        </w:rPr>
        <w:t>Pet</w:t>
      </w:r>
      <w:r w:rsidRPr="00C31C0A">
        <w:t>rská 1426/1, 110 00 Praha 1</w:t>
      </w:r>
    </w:p>
    <w:p w:rsidR="00906893" w:rsidRDefault="00906893" w:rsidP="00C051B4">
      <w:pPr>
        <w:spacing w:line="280" w:lineRule="exact"/>
        <w:ind w:left="357"/>
        <w:rPr>
          <w:rFonts w:ascii="Arial" w:hAnsi="Arial" w:cs="Arial"/>
          <w:b/>
          <w:color w:val="000000"/>
        </w:rPr>
      </w:pPr>
    </w:p>
    <w:p w:rsidR="00906893" w:rsidRPr="00872387" w:rsidRDefault="00906893" w:rsidP="00C051B4">
      <w:pPr>
        <w:spacing w:line="280" w:lineRule="exact"/>
        <w:ind w:left="357"/>
        <w:rPr>
          <w:rFonts w:ascii="Arial" w:hAnsi="Arial" w:cs="Arial"/>
          <w:b/>
          <w:color w:val="000000"/>
        </w:rPr>
      </w:pPr>
    </w:p>
    <w:p w:rsidR="00906893" w:rsidRPr="00C051B4" w:rsidRDefault="00906893" w:rsidP="00C051B4">
      <w:pPr>
        <w:numPr>
          <w:ilvl w:val="0"/>
          <w:numId w:val="8"/>
        </w:numPr>
        <w:jc w:val="center"/>
        <w:rPr>
          <w:b/>
        </w:rPr>
      </w:pPr>
      <w:bookmarkStart w:id="18" w:name="_DV_M60"/>
      <w:bookmarkStart w:id="19" w:name="_DV_M61"/>
      <w:bookmarkStart w:id="20" w:name="_DV_M62"/>
      <w:bookmarkStart w:id="21" w:name="_DV_M63"/>
      <w:bookmarkStart w:id="22" w:name="_DV_M64"/>
      <w:bookmarkStart w:id="23" w:name="_DV_M65"/>
      <w:bookmarkStart w:id="24" w:name="_DV_M66"/>
      <w:bookmarkStart w:id="25" w:name="_DV_M67"/>
      <w:bookmarkStart w:id="26" w:name="_DV_M68"/>
      <w:bookmarkStart w:id="27" w:name="_DV_M69"/>
      <w:bookmarkStart w:id="28" w:name="_DV_M70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>
          <w:b/>
        </w:rPr>
        <w:t>Závěrečná ujednání</w:t>
      </w:r>
    </w:p>
    <w:p w:rsidR="00906893" w:rsidRDefault="00906893" w:rsidP="00C051B4">
      <w:pPr>
        <w:spacing w:before="120" w:line="280" w:lineRule="exact"/>
        <w:ind w:left="360"/>
        <w:rPr>
          <w:rFonts w:ascii="Arial" w:hAnsi="Arial" w:cs="Arial"/>
          <w:color w:val="000000"/>
        </w:rPr>
      </w:pPr>
      <w:bookmarkStart w:id="29" w:name="_DV_M71"/>
      <w:bookmarkEnd w:id="29"/>
    </w:p>
    <w:p w:rsidR="00906893" w:rsidRPr="008B1411" w:rsidRDefault="00906893" w:rsidP="00C051B4">
      <w:pPr>
        <w:numPr>
          <w:ilvl w:val="0"/>
          <w:numId w:val="1"/>
        </w:numPr>
      </w:pPr>
      <w:r w:rsidRPr="008B1411">
        <w:t xml:space="preserve">Změna tohoto </w:t>
      </w:r>
      <w:r>
        <w:t>LOI</w:t>
      </w:r>
      <w:r w:rsidRPr="008B1411">
        <w:t xml:space="preserve"> </w:t>
      </w:r>
      <w:r>
        <w:t>může být prováděna pouze formou písemných dodatků</w:t>
      </w:r>
      <w:r w:rsidRPr="008B1411">
        <w:t xml:space="preserve">, které musí být podepsány všemi účastníky. </w:t>
      </w:r>
    </w:p>
    <w:p w:rsidR="00906893" w:rsidRPr="008B1411" w:rsidRDefault="00906893" w:rsidP="00C051B4">
      <w:pPr>
        <w:ind w:left="284"/>
      </w:pPr>
    </w:p>
    <w:p w:rsidR="00906893" w:rsidRPr="008B1411" w:rsidRDefault="00906893" w:rsidP="00C051B4">
      <w:pPr>
        <w:numPr>
          <w:ilvl w:val="0"/>
          <w:numId w:val="1"/>
        </w:numPr>
      </w:pPr>
      <w:r w:rsidRPr="008B1411">
        <w:t>Žádná strana není oprávněna k postoupení jakýchkoliv práv, nároků nebo závazků, vyplývajících z tohoto LOI, aniž by si vyžádala předchozí souhlas všech ostatních stran.</w:t>
      </w:r>
    </w:p>
    <w:p w:rsidR="00906893" w:rsidRDefault="00906893">
      <w:pPr>
        <w:pStyle w:val="Stednmka1zvraznn21"/>
      </w:pPr>
    </w:p>
    <w:p w:rsidR="00906893" w:rsidRPr="008B1411" w:rsidRDefault="00906893" w:rsidP="00C051B4">
      <w:pPr>
        <w:numPr>
          <w:ilvl w:val="0"/>
          <w:numId w:val="1"/>
        </w:numPr>
      </w:pPr>
      <w:r w:rsidRPr="008B1411">
        <w:t xml:space="preserve">Tento LOI nepředstavuje žádným způsobem předběžnou smlouvu, smlouvu o uzavření smlouvy budoucí nebo jiný právně srovnatelný </w:t>
      </w:r>
      <w:r>
        <w:t>právní úkon, který by mohl mít účinek</w:t>
      </w:r>
      <w:r w:rsidRPr="008B1411">
        <w:t xml:space="preserve"> přesahující </w:t>
      </w:r>
      <w:r>
        <w:t>prosté</w:t>
      </w:r>
      <w:r w:rsidRPr="008B1411">
        <w:t xml:space="preserve"> stanovení úmyslů a </w:t>
      </w:r>
      <w:r>
        <w:t>společných záměrů projednat v tomto LOI vymezené záležitosti</w:t>
      </w:r>
      <w:r w:rsidRPr="008B1411">
        <w:t>.</w:t>
      </w:r>
      <w:r>
        <w:t xml:space="preserve"> Veškeré náklady a související s plněním a realizací tohoto LOI vzniklé kterémukoli z účastníků nese výlučně účastník, jemuž takové náklady vznikly.</w:t>
      </w:r>
    </w:p>
    <w:p w:rsidR="00906893" w:rsidRPr="008B1411" w:rsidRDefault="00906893" w:rsidP="00C051B4">
      <w:pPr>
        <w:ind w:left="284"/>
      </w:pPr>
    </w:p>
    <w:p w:rsidR="00906893" w:rsidRDefault="00906893" w:rsidP="00C051B4">
      <w:pPr>
        <w:numPr>
          <w:ilvl w:val="0"/>
          <w:numId w:val="1"/>
        </w:numPr>
      </w:pPr>
      <w:r w:rsidRPr="008B1411">
        <w:t>Tento LOI je vyhotoven v</w:t>
      </w:r>
      <w:r>
        <w:t> </w:t>
      </w:r>
      <w:r w:rsidRPr="008B1411">
        <w:t>české</w:t>
      </w:r>
      <w:r>
        <w:t xml:space="preserve">m znění, a to ve třech stejnopisech. </w:t>
      </w:r>
      <w:r w:rsidRPr="008B1411">
        <w:t xml:space="preserve">Každý účastník obdrží jeden </w:t>
      </w:r>
      <w:r>
        <w:t>stejnopis</w:t>
      </w:r>
      <w:r w:rsidRPr="008B1411">
        <w:t>.</w:t>
      </w:r>
    </w:p>
    <w:p w:rsidR="00906893" w:rsidRDefault="00906893">
      <w:pPr>
        <w:pStyle w:val="Stednmka1zvraznn21"/>
      </w:pPr>
    </w:p>
    <w:p w:rsidR="00906893" w:rsidRDefault="00906893" w:rsidP="00C051B4">
      <w:pPr>
        <w:numPr>
          <w:ilvl w:val="0"/>
          <w:numId w:val="1"/>
        </w:numPr>
      </w:pPr>
      <w:r w:rsidRPr="008B1411">
        <w:t xml:space="preserve">Tento LOI se řídí českým právem.  </w:t>
      </w:r>
    </w:p>
    <w:p w:rsidR="00906893" w:rsidRDefault="00906893" w:rsidP="008A75D0"/>
    <w:p w:rsidR="00906893" w:rsidRPr="008B1411" w:rsidRDefault="00906893" w:rsidP="008A75D0">
      <w:pPr>
        <w:pStyle w:val="ListParagraph"/>
        <w:numPr>
          <w:ilvl w:val="0"/>
          <w:numId w:val="1"/>
        </w:numPr>
      </w:pPr>
      <w:r w:rsidRPr="008A75D0">
        <w:t>Smluvní strany výslovně souhlasí s tím, aby tato Smlouva byla uvedena v Centrální evidenci smluv (CES) vedené Nabyvatelem, která je veřejně přístupná a která obsahuje údaje o smluvních stranách, předmětu smlouvy, číselné označení této Smlouvy a datum jejího podpisu. Smluvní strany prohlašují, že skutečnosti uvedené v této Smlouvě nepovažují za obchodní tajemství ve smyslu § 17 obchodního zákoníku a udělují svolení k jejich užití a zveřejnění bez stanovení jakýchkoliv dalších podmínek.</w:t>
      </w:r>
    </w:p>
    <w:p w:rsidR="00906893" w:rsidRPr="008B1411" w:rsidRDefault="00906893" w:rsidP="00C051B4">
      <w:pPr>
        <w:ind w:left="644"/>
      </w:pPr>
    </w:p>
    <w:p w:rsidR="00906893" w:rsidRPr="00872387" w:rsidRDefault="00906893" w:rsidP="00C051B4">
      <w:pPr>
        <w:spacing w:before="120" w:line="280" w:lineRule="exact"/>
        <w:rPr>
          <w:rFonts w:ascii="Arial" w:hAnsi="Arial" w:cs="Arial"/>
          <w:color w:val="000000"/>
        </w:rPr>
      </w:pPr>
    </w:p>
    <w:p w:rsidR="00906893" w:rsidRPr="00C051B4" w:rsidRDefault="00906893" w:rsidP="00C051B4">
      <w:bookmarkStart w:id="30" w:name="_DV_M81"/>
      <w:bookmarkEnd w:id="30"/>
      <w:r w:rsidRPr="00C051B4">
        <w:t xml:space="preserve">NA SVĚDECTVÍ ČEHOŽ, připojují níže uvedení </w:t>
      </w:r>
      <w:r>
        <w:t>účastníci</w:t>
      </w:r>
      <w:r w:rsidRPr="00C051B4">
        <w:t xml:space="preserve"> své podpisy a uzavírají toto </w:t>
      </w:r>
      <w:r>
        <w:t>LOI.</w:t>
      </w:r>
      <w:r w:rsidRPr="00C051B4">
        <w:t xml:space="preserve"> </w:t>
      </w:r>
    </w:p>
    <w:p w:rsidR="00906893" w:rsidRDefault="00906893">
      <w:pPr>
        <w:pStyle w:val="Stednmka1zvraznn21"/>
      </w:pPr>
    </w:p>
    <w:p w:rsidR="00906893" w:rsidRDefault="00906893">
      <w:pPr>
        <w:pStyle w:val="Stednmka1zvraznn21"/>
      </w:pPr>
    </w:p>
    <w:p w:rsidR="00906893" w:rsidRDefault="00906893" w:rsidP="00360450">
      <w:pPr>
        <w:outlineLvl w:val="0"/>
      </w:pPr>
    </w:p>
    <w:p w:rsidR="00906893" w:rsidRPr="00C051B4" w:rsidRDefault="00906893" w:rsidP="00395A4A">
      <w:pPr>
        <w:ind w:right="659"/>
        <w:rPr>
          <w:rStyle w:val="Strong"/>
          <w:bCs/>
        </w:rPr>
      </w:pPr>
      <w:r w:rsidRPr="00C051B4">
        <w:rPr>
          <w:rStyle w:val="Strong"/>
          <w:bCs/>
        </w:rPr>
        <w:t>eMoneyServices s.r.o.</w:t>
      </w:r>
    </w:p>
    <w:p w:rsidR="00906893" w:rsidRPr="008B1411" w:rsidRDefault="00906893" w:rsidP="00360450">
      <w:pPr>
        <w:outlineLvl w:val="0"/>
      </w:pPr>
    </w:p>
    <w:p w:rsidR="00906893" w:rsidRPr="008B1411" w:rsidRDefault="00906893" w:rsidP="00360450"/>
    <w:p w:rsidR="00906893" w:rsidRPr="008B1411" w:rsidRDefault="00906893" w:rsidP="00852D69">
      <w:r w:rsidRPr="008B1411">
        <w:t>________________</w:t>
      </w:r>
      <w:r w:rsidRPr="008B1411">
        <w:tab/>
      </w:r>
      <w:r w:rsidRPr="008B1411">
        <w:tab/>
      </w:r>
    </w:p>
    <w:p w:rsidR="00906893" w:rsidRPr="008B1411" w:rsidRDefault="00906893" w:rsidP="00852D69">
      <w:r>
        <w:t>Michal Šilhák, jednatel</w:t>
      </w:r>
    </w:p>
    <w:p w:rsidR="00906893" w:rsidRPr="008B1411" w:rsidRDefault="00906893" w:rsidP="00360450">
      <w:r w:rsidRPr="008B1411">
        <w:t>Datum:</w:t>
      </w:r>
    </w:p>
    <w:p w:rsidR="00906893" w:rsidRPr="008B1411" w:rsidRDefault="00906893" w:rsidP="00360450"/>
    <w:p w:rsidR="00906893" w:rsidRPr="00C051B4" w:rsidRDefault="00906893" w:rsidP="00395A4A">
      <w:pPr>
        <w:outlineLvl w:val="0"/>
        <w:rPr>
          <w:b/>
        </w:rPr>
      </w:pPr>
      <w:r w:rsidRPr="00C051B4">
        <w:rPr>
          <w:b/>
        </w:rPr>
        <w:t>Hlavní město Praha</w:t>
      </w:r>
    </w:p>
    <w:p w:rsidR="00906893" w:rsidRPr="008B1411" w:rsidRDefault="00906893" w:rsidP="003F3770">
      <w:pPr>
        <w:outlineLvl w:val="0"/>
      </w:pPr>
    </w:p>
    <w:p w:rsidR="00906893" w:rsidRPr="008B1411" w:rsidRDefault="00906893" w:rsidP="003F3770"/>
    <w:p w:rsidR="00906893" w:rsidRPr="008B1411" w:rsidRDefault="00906893" w:rsidP="003F3770">
      <w:r w:rsidRPr="008B1411">
        <w:t>________________</w:t>
      </w:r>
      <w:r w:rsidRPr="008B1411">
        <w:tab/>
      </w:r>
      <w:r w:rsidRPr="008B1411">
        <w:tab/>
      </w:r>
    </w:p>
    <w:p w:rsidR="00906893" w:rsidRPr="008B1411" w:rsidRDefault="00906893" w:rsidP="008B1411">
      <w:r>
        <w:t>Eva Vorlíčková, radní</w:t>
      </w:r>
      <w:r w:rsidRPr="008B1411">
        <w:tab/>
      </w:r>
      <w:r w:rsidRPr="008B1411">
        <w:tab/>
      </w:r>
      <w:r w:rsidRPr="008B1411">
        <w:tab/>
      </w:r>
      <w:r w:rsidRPr="008B1411">
        <w:tab/>
      </w:r>
    </w:p>
    <w:p w:rsidR="00906893" w:rsidRPr="008B1411" w:rsidRDefault="00906893" w:rsidP="008B1411">
      <w:r w:rsidRPr="008B1411">
        <w:t>Datum:</w:t>
      </w:r>
      <w:r w:rsidRPr="008B1411">
        <w:tab/>
      </w:r>
      <w:r w:rsidRPr="008B1411">
        <w:tab/>
      </w:r>
      <w:r w:rsidRPr="008B1411">
        <w:tab/>
      </w:r>
    </w:p>
    <w:p w:rsidR="00906893" w:rsidRPr="008B1411" w:rsidRDefault="00906893" w:rsidP="00360450"/>
    <w:p w:rsidR="00906893" w:rsidRPr="008B1411" w:rsidRDefault="00906893" w:rsidP="007E472E"/>
    <w:p w:rsidR="00906893" w:rsidRPr="008B1411" w:rsidRDefault="00906893" w:rsidP="007E472E">
      <w:r w:rsidRPr="008B1411">
        <w:t>________________</w:t>
      </w:r>
      <w:r w:rsidRPr="008B1411">
        <w:tab/>
      </w:r>
      <w:r w:rsidRPr="008B1411">
        <w:tab/>
      </w:r>
    </w:p>
    <w:p w:rsidR="00906893" w:rsidRPr="008B1411" w:rsidRDefault="00906893" w:rsidP="007E472E">
      <w:r w:rsidRPr="008B1411">
        <w:t>J</w:t>
      </w:r>
      <w:r>
        <w:t>iří Vávra, I. náměstek primátora</w:t>
      </w:r>
      <w:r w:rsidRPr="008B1411">
        <w:tab/>
      </w:r>
      <w:r w:rsidRPr="008B1411">
        <w:tab/>
      </w:r>
      <w:r w:rsidRPr="008B1411">
        <w:tab/>
      </w:r>
      <w:r w:rsidRPr="008B1411">
        <w:tab/>
      </w:r>
    </w:p>
    <w:p w:rsidR="00906893" w:rsidRPr="008B1411" w:rsidRDefault="00906893" w:rsidP="007E472E">
      <w:r w:rsidRPr="008B1411">
        <w:t>Datum:</w:t>
      </w:r>
      <w:r w:rsidRPr="008B1411">
        <w:tab/>
      </w:r>
      <w:r w:rsidRPr="008B1411">
        <w:tab/>
      </w:r>
      <w:r w:rsidRPr="008B1411">
        <w:tab/>
      </w:r>
    </w:p>
    <w:p w:rsidR="00906893" w:rsidRPr="008B1411" w:rsidRDefault="00906893" w:rsidP="00360450"/>
    <w:p w:rsidR="00906893" w:rsidRPr="005419BF" w:rsidRDefault="00906893" w:rsidP="005419BF">
      <w:pPr>
        <w:jc w:val="center"/>
        <w:rPr>
          <w:b/>
        </w:rPr>
      </w:pPr>
      <w:r>
        <w:rPr>
          <w:b/>
        </w:rPr>
        <w:br w:type="page"/>
      </w:r>
      <w:r w:rsidRPr="005419BF">
        <w:rPr>
          <w:b/>
        </w:rPr>
        <w:t>Příloha 1</w:t>
      </w:r>
    </w:p>
    <w:p w:rsidR="00906893" w:rsidRPr="005419BF" w:rsidRDefault="00906893" w:rsidP="005419BF">
      <w:pPr>
        <w:jc w:val="center"/>
        <w:rPr>
          <w:b/>
        </w:rPr>
      </w:pPr>
    </w:p>
    <w:p w:rsidR="00906893" w:rsidRPr="005419BF" w:rsidRDefault="00906893" w:rsidP="005419BF">
      <w:pPr>
        <w:jc w:val="center"/>
        <w:rPr>
          <w:b/>
        </w:rPr>
      </w:pPr>
      <w:r w:rsidRPr="005419BF">
        <w:rPr>
          <w:b/>
        </w:rPr>
        <w:t>Licenční smlouvy mezi HMP a EMONEY SERVICES</w:t>
      </w:r>
    </w:p>
    <w:p w:rsidR="00906893" w:rsidRPr="005419BF" w:rsidRDefault="00906893" w:rsidP="005419BF">
      <w:pPr>
        <w:jc w:val="center"/>
        <w:rPr>
          <w:b/>
        </w:rPr>
      </w:pPr>
    </w:p>
    <w:p w:rsidR="00906893" w:rsidRDefault="00906893" w:rsidP="00360450">
      <w:r>
        <w:t>L</w:t>
      </w:r>
      <w:r w:rsidRPr="000D25EF">
        <w:t>icenční smlouv</w:t>
      </w:r>
      <w:r>
        <w:t>a</w:t>
      </w:r>
      <w:r w:rsidRPr="000D25EF">
        <w:t xml:space="preserve"> č. LIC/40/01/001613/2008, ze dne 14. července 2008, změněn</w:t>
      </w:r>
      <w:r>
        <w:t>á</w:t>
      </w:r>
      <w:r w:rsidRPr="000D25EF">
        <w:t xml:space="preserve"> dodatkem č. 1 ze dne 12. února 2010 a dodatkem č. 2 ze dne 24. srpna 2011 (licence ke stanovenému programovému vybavení SKC)</w:t>
      </w:r>
    </w:p>
    <w:p w:rsidR="00906893" w:rsidRDefault="00906893" w:rsidP="00360450"/>
    <w:p w:rsidR="00906893" w:rsidRDefault="00906893" w:rsidP="00360450">
      <w:r>
        <w:t>S</w:t>
      </w:r>
      <w:r w:rsidRPr="000D25EF">
        <w:t>mlouv</w:t>
      </w:r>
      <w:r>
        <w:t>a</w:t>
      </w:r>
      <w:r w:rsidRPr="000D25EF">
        <w:t xml:space="preserve"> o dílo č. DIL/40/01/001529/2008, ze dne 21. dubna 2008, (Kartová Aplikace Parkování KAP a aplikační software SAM)</w:t>
      </w:r>
    </w:p>
    <w:p w:rsidR="00906893" w:rsidRDefault="00906893" w:rsidP="00360450"/>
    <w:p w:rsidR="00906893" w:rsidRDefault="00906893" w:rsidP="00360450">
      <w:r>
        <w:t>L</w:t>
      </w:r>
      <w:r w:rsidRPr="000D25EF">
        <w:t>icenční smlouv</w:t>
      </w:r>
      <w:r>
        <w:t>a</w:t>
      </w:r>
      <w:r w:rsidRPr="000D25EF">
        <w:t xml:space="preserve"> č. LIC/40/01/001651/2008, ze dne 31. července 2008 (Aplikační software HSM-SKC)</w:t>
      </w:r>
    </w:p>
    <w:p w:rsidR="00906893" w:rsidRDefault="00906893" w:rsidP="00360450"/>
    <w:p w:rsidR="00906893" w:rsidRDefault="00906893" w:rsidP="00360450">
      <w:r>
        <w:t>L</w:t>
      </w:r>
      <w:r w:rsidRPr="000D25EF">
        <w:t>icenční smlouv</w:t>
      </w:r>
      <w:r>
        <w:t>a</w:t>
      </w:r>
      <w:r w:rsidRPr="000D25EF">
        <w:t xml:space="preserve"> č. LIC/40/01/001650/2008, ze dne 31. července 2008 (využití Software pro celkový počet 156 SAM modulů</w:t>
      </w:r>
    </w:p>
    <w:p w:rsidR="00906893" w:rsidRDefault="00906893" w:rsidP="00360450"/>
    <w:p w:rsidR="00906893" w:rsidRPr="00681EEC" w:rsidRDefault="00906893" w:rsidP="000D25EF">
      <w:pPr>
        <w:jc w:val="center"/>
        <w:rPr>
          <w:b/>
        </w:rPr>
      </w:pPr>
      <w:r>
        <w:br w:type="page"/>
      </w:r>
      <w:r w:rsidRPr="00681EEC">
        <w:rPr>
          <w:b/>
        </w:rPr>
        <w:t xml:space="preserve">Příloha </w:t>
      </w:r>
      <w:r>
        <w:rPr>
          <w:b/>
        </w:rPr>
        <w:t>2</w:t>
      </w:r>
    </w:p>
    <w:p w:rsidR="00906893" w:rsidRPr="00681EEC" w:rsidRDefault="00906893" w:rsidP="000D25EF">
      <w:pPr>
        <w:jc w:val="center"/>
        <w:rPr>
          <w:b/>
        </w:rPr>
      </w:pPr>
    </w:p>
    <w:p w:rsidR="00906893" w:rsidRPr="00681EEC" w:rsidRDefault="00906893" w:rsidP="000D25EF">
      <w:pPr>
        <w:jc w:val="center"/>
        <w:rPr>
          <w:b/>
        </w:rPr>
      </w:pPr>
      <w:r w:rsidRPr="00681EEC">
        <w:rPr>
          <w:b/>
        </w:rPr>
        <w:t xml:space="preserve">Licenční smlouvy mezi </w:t>
      </w:r>
      <w:r>
        <w:rPr>
          <w:b/>
        </w:rPr>
        <w:t xml:space="preserve">DPP </w:t>
      </w:r>
      <w:r w:rsidRPr="00681EEC">
        <w:rPr>
          <w:b/>
        </w:rPr>
        <w:t>a EMONEY SERVICES</w:t>
      </w:r>
    </w:p>
    <w:p w:rsidR="00906893" w:rsidRDefault="00906893" w:rsidP="00360450"/>
    <w:p w:rsidR="00906893" w:rsidRPr="008B1411" w:rsidRDefault="00906893" w:rsidP="00360450">
      <w:r>
        <w:t>S</w:t>
      </w:r>
      <w:r w:rsidRPr="000D25EF">
        <w:t>mlouv</w:t>
      </w:r>
      <w:r>
        <w:t>a</w:t>
      </w:r>
      <w:r w:rsidRPr="000D25EF">
        <w:t xml:space="preserve"> o dílo ze dne 15. července 2008, následně doplněn</w:t>
      </w:r>
      <w:r>
        <w:t>á</w:t>
      </w:r>
      <w:r w:rsidRPr="000D25EF">
        <w:t xml:space="preserve"> dodatkem č. 1 ze dne 15. prosince 2008, dodatkem č. 2 ze dne 22. prosince 2008, dodatkem č. 3 ze dne 12. února 2010, dodatkem č. 4 ze dne 26. května 2011 a dodatkem č. 5 ze dne 3. února 2012</w:t>
      </w:r>
    </w:p>
    <w:sectPr w:rsidR="00906893" w:rsidRPr="008B1411" w:rsidSect="00FA2085">
      <w:foot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893" w:rsidRDefault="00906893" w:rsidP="00A51BFB">
      <w:r>
        <w:separator/>
      </w:r>
    </w:p>
  </w:endnote>
  <w:endnote w:type="continuationSeparator" w:id="0">
    <w:p w:rsidR="00906893" w:rsidRDefault="00906893" w:rsidP="00A51B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893" w:rsidRPr="00A51BFB" w:rsidRDefault="00906893" w:rsidP="00A51BFB">
    <w:pPr>
      <w:pStyle w:val="Footer"/>
      <w:jc w:val="left"/>
      <w:rPr>
        <w:sz w:val="16"/>
        <w:szCs w:val="16"/>
      </w:rPr>
    </w:pPr>
  </w:p>
  <w:p w:rsidR="00906893" w:rsidRDefault="00906893" w:rsidP="00C362C7">
    <w:pPr>
      <w:jc w:val="right"/>
      <w:rPr>
        <w:lang w:val="de-DE"/>
      </w:rPr>
    </w:pPr>
  </w:p>
  <w:p w:rsidR="00906893" w:rsidRPr="00AD4407" w:rsidRDefault="00906893" w:rsidP="00C362C7">
    <w:pPr>
      <w:jc w:val="right"/>
    </w:pPr>
    <w:r w:rsidRPr="00AD4407">
      <w:rPr>
        <w:sz w:val="20"/>
        <w:szCs w:val="20"/>
      </w:rPr>
      <w:t xml:space="preserve">Strana  </w:t>
    </w:r>
    <w:r w:rsidRPr="00AD4407">
      <w:rPr>
        <w:sz w:val="20"/>
        <w:szCs w:val="20"/>
      </w:rPr>
      <w:fldChar w:fldCharType="begin"/>
    </w:r>
    <w:r w:rsidRPr="00AD4407">
      <w:rPr>
        <w:sz w:val="20"/>
        <w:szCs w:val="20"/>
      </w:rPr>
      <w:instrText xml:space="preserve"> PAGE </w:instrText>
    </w:r>
    <w:r w:rsidRPr="00AD4407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Pr="00AD4407">
      <w:rPr>
        <w:sz w:val="20"/>
        <w:szCs w:val="20"/>
      </w:rPr>
      <w:fldChar w:fldCharType="end"/>
    </w:r>
    <w:r w:rsidRPr="00AD4407">
      <w:rPr>
        <w:sz w:val="20"/>
        <w:szCs w:val="20"/>
      </w:rPr>
      <w:t xml:space="preserve"> z </w:t>
    </w:r>
    <w:r w:rsidRPr="00AD4407">
      <w:rPr>
        <w:sz w:val="20"/>
        <w:szCs w:val="20"/>
      </w:rPr>
      <w:fldChar w:fldCharType="begin"/>
    </w:r>
    <w:r w:rsidRPr="00AD4407">
      <w:rPr>
        <w:sz w:val="20"/>
        <w:szCs w:val="20"/>
      </w:rPr>
      <w:instrText xml:space="preserve"> NUMPAGES  </w:instrText>
    </w:r>
    <w:r w:rsidRPr="00AD4407">
      <w:rPr>
        <w:sz w:val="20"/>
        <w:szCs w:val="20"/>
      </w:rPr>
      <w:fldChar w:fldCharType="separate"/>
    </w:r>
    <w:r>
      <w:rPr>
        <w:noProof/>
        <w:sz w:val="20"/>
        <w:szCs w:val="20"/>
      </w:rPr>
      <w:t>8</w:t>
    </w:r>
    <w:r w:rsidRPr="00AD4407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893" w:rsidRDefault="00906893" w:rsidP="00A51BFB">
      <w:r>
        <w:separator/>
      </w:r>
    </w:p>
  </w:footnote>
  <w:footnote w:type="continuationSeparator" w:id="0">
    <w:p w:rsidR="00906893" w:rsidRDefault="00906893" w:rsidP="00A51B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893" w:rsidRPr="00FA2085" w:rsidRDefault="00906893" w:rsidP="00FA2085">
    <w:pPr>
      <w:rPr>
        <w:i/>
        <w:iCs/>
        <w:u w:val="single"/>
      </w:rPr>
    </w:pPr>
    <w:r>
      <w:rPr>
        <w:i/>
        <w:iCs/>
        <w:u w:val="single"/>
      </w:rPr>
      <w:t>Příloha č. 1 k usnesení Rady HMP č. 2301 ze dne 3. 12.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5E415F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DAB25FF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spacing w:val="0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cs="Times New Roman"/>
        <w:spacing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pacing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spacing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spacing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spacing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spacing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spacing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spacing w:val="0"/>
      </w:rPr>
    </w:lvl>
  </w:abstractNum>
  <w:abstractNum w:abstractNumId="2">
    <w:nsid w:val="00000005"/>
    <w:multiLevelType w:val="hybridMultilevel"/>
    <w:tmpl w:val="65A003E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pacing w:val="0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pacing w:val="0"/>
      </w:rPr>
    </w:lvl>
    <w:lvl w:ilvl="2" w:tplc="040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pacing w:val="0"/>
      </w:rPr>
    </w:lvl>
    <w:lvl w:ilvl="3" w:tplc="040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pacing w:val="0"/>
      </w:rPr>
    </w:lvl>
    <w:lvl w:ilvl="4" w:tplc="040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  <w:spacing w:val="0"/>
      </w:rPr>
    </w:lvl>
    <w:lvl w:ilvl="5" w:tplc="040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  <w:spacing w:val="0"/>
      </w:rPr>
    </w:lvl>
    <w:lvl w:ilvl="6" w:tplc="040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spacing w:val="0"/>
      </w:rPr>
    </w:lvl>
    <w:lvl w:ilvl="7" w:tplc="040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  <w:spacing w:val="0"/>
      </w:rPr>
    </w:lvl>
    <w:lvl w:ilvl="8" w:tplc="040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  <w:spacing w:val="0"/>
      </w:rPr>
    </w:lvl>
  </w:abstractNum>
  <w:abstractNum w:abstractNumId="3">
    <w:nsid w:val="00000006"/>
    <w:multiLevelType w:val="hybridMultilevel"/>
    <w:tmpl w:val="BF5EFDE2"/>
    <w:lvl w:ilvl="0" w:tplc="9F7A8EF4">
      <w:start w:val="1"/>
      <w:numFmt w:val="lowerRoman"/>
      <w:lvlText w:val="(%1)"/>
      <w:lvlJc w:val="right"/>
      <w:pPr>
        <w:ind w:left="2880" w:hanging="360"/>
      </w:pPr>
      <w:rPr>
        <w:rFonts w:cs="Times New Roman" w:hint="eastAsia"/>
        <w:spacing w:val="0"/>
      </w:rPr>
    </w:lvl>
    <w:lvl w:ilvl="1" w:tplc="04090019">
      <w:start w:val="1"/>
      <w:numFmt w:val="lowerLetter"/>
      <w:lvlText w:val="%2."/>
      <w:lvlJc w:val="left"/>
      <w:pPr>
        <w:ind w:left="3600" w:hanging="360"/>
      </w:pPr>
      <w:rPr>
        <w:rFonts w:cs="Times New Roman"/>
        <w:spacing w:val="0"/>
      </w:rPr>
    </w:lvl>
    <w:lvl w:ilvl="2" w:tplc="0409001B">
      <w:start w:val="1"/>
      <w:numFmt w:val="lowerRoman"/>
      <w:lvlText w:val="%3."/>
      <w:lvlJc w:val="right"/>
      <w:pPr>
        <w:ind w:left="4320" w:hanging="180"/>
      </w:pPr>
      <w:rPr>
        <w:rFonts w:cs="Times New Roman"/>
        <w:spacing w:val="0"/>
      </w:rPr>
    </w:lvl>
    <w:lvl w:ilvl="3" w:tplc="0409000F">
      <w:start w:val="1"/>
      <w:numFmt w:val="decimal"/>
      <w:lvlText w:val="%4."/>
      <w:lvlJc w:val="left"/>
      <w:pPr>
        <w:ind w:left="5040" w:hanging="360"/>
      </w:pPr>
      <w:rPr>
        <w:rFonts w:cs="Times New Roman"/>
        <w:spacing w:val="0"/>
      </w:rPr>
    </w:lvl>
    <w:lvl w:ilvl="4" w:tplc="04090019">
      <w:start w:val="1"/>
      <w:numFmt w:val="lowerLetter"/>
      <w:lvlText w:val="%5."/>
      <w:lvlJc w:val="left"/>
      <w:pPr>
        <w:ind w:left="5760" w:hanging="360"/>
      </w:pPr>
      <w:rPr>
        <w:rFonts w:cs="Times New Roman"/>
        <w:spacing w:val="0"/>
      </w:rPr>
    </w:lvl>
    <w:lvl w:ilvl="5" w:tplc="0409001B">
      <w:start w:val="1"/>
      <w:numFmt w:val="lowerRoman"/>
      <w:lvlText w:val="%6."/>
      <w:lvlJc w:val="right"/>
      <w:pPr>
        <w:ind w:left="6480" w:hanging="180"/>
      </w:pPr>
      <w:rPr>
        <w:rFonts w:cs="Times New Roman"/>
        <w:spacing w:val="0"/>
      </w:rPr>
    </w:lvl>
    <w:lvl w:ilvl="6" w:tplc="0409000F">
      <w:start w:val="1"/>
      <w:numFmt w:val="decimal"/>
      <w:lvlText w:val="%7."/>
      <w:lvlJc w:val="left"/>
      <w:pPr>
        <w:ind w:left="7200" w:hanging="360"/>
      </w:pPr>
      <w:rPr>
        <w:rFonts w:cs="Times New Roman"/>
        <w:spacing w:val="0"/>
      </w:rPr>
    </w:lvl>
    <w:lvl w:ilvl="7" w:tplc="04090019">
      <w:start w:val="1"/>
      <w:numFmt w:val="lowerLetter"/>
      <w:lvlText w:val="%8."/>
      <w:lvlJc w:val="left"/>
      <w:pPr>
        <w:ind w:left="7920" w:hanging="360"/>
      </w:pPr>
      <w:rPr>
        <w:rFonts w:cs="Times New Roman"/>
        <w:spacing w:val="0"/>
      </w:rPr>
    </w:lvl>
    <w:lvl w:ilvl="8" w:tplc="0409001B">
      <w:start w:val="1"/>
      <w:numFmt w:val="lowerRoman"/>
      <w:lvlText w:val="%9."/>
      <w:lvlJc w:val="right"/>
      <w:pPr>
        <w:ind w:left="8640" w:hanging="180"/>
      </w:pPr>
      <w:rPr>
        <w:rFonts w:cs="Times New Roman"/>
        <w:spacing w:val="0"/>
      </w:rPr>
    </w:lvl>
  </w:abstractNum>
  <w:abstractNum w:abstractNumId="4">
    <w:nsid w:val="114F36D9"/>
    <w:multiLevelType w:val="hybridMultilevel"/>
    <w:tmpl w:val="ACC81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67085"/>
    <w:multiLevelType w:val="hybridMultilevel"/>
    <w:tmpl w:val="E8FCCBDA"/>
    <w:lvl w:ilvl="0" w:tplc="D51C32C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>
    <w:nsid w:val="1DC55703"/>
    <w:multiLevelType w:val="hybridMultilevel"/>
    <w:tmpl w:val="CC2A02C6"/>
    <w:lvl w:ilvl="0" w:tplc="9E2C9E6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>
    <w:nsid w:val="21783468"/>
    <w:multiLevelType w:val="hybridMultilevel"/>
    <w:tmpl w:val="80E2F0A6"/>
    <w:lvl w:ilvl="0" w:tplc="29B2180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24A6F34"/>
    <w:multiLevelType w:val="hybridMultilevel"/>
    <w:tmpl w:val="E8FCCBDA"/>
    <w:lvl w:ilvl="0" w:tplc="D51C32C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>
    <w:nsid w:val="3409054D"/>
    <w:multiLevelType w:val="hybridMultilevel"/>
    <w:tmpl w:val="DE2A8024"/>
    <w:lvl w:ilvl="0" w:tplc="3C50403E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25567D2"/>
    <w:multiLevelType w:val="hybridMultilevel"/>
    <w:tmpl w:val="C8F60968"/>
    <w:lvl w:ilvl="0" w:tplc="0405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5C05EB7"/>
    <w:multiLevelType w:val="hybridMultilevel"/>
    <w:tmpl w:val="DE2A8024"/>
    <w:lvl w:ilvl="0" w:tplc="3C50403E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EDC6EFF"/>
    <w:multiLevelType w:val="hybridMultilevel"/>
    <w:tmpl w:val="5270FCA0"/>
    <w:lvl w:ilvl="0" w:tplc="D154FCF4">
      <w:start w:val="7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5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359257D"/>
    <w:multiLevelType w:val="hybridMultilevel"/>
    <w:tmpl w:val="E8FCCBDA"/>
    <w:lvl w:ilvl="0" w:tplc="D51C32C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4">
    <w:nsid w:val="6AE17D77"/>
    <w:multiLevelType w:val="hybridMultilevel"/>
    <w:tmpl w:val="E8FCCBDA"/>
    <w:lvl w:ilvl="0" w:tplc="D51C32C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5">
    <w:nsid w:val="77652C87"/>
    <w:multiLevelType w:val="hybridMultilevel"/>
    <w:tmpl w:val="4B1CF286"/>
    <w:lvl w:ilvl="0" w:tplc="0405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4"/>
  </w:num>
  <w:num w:numId="5">
    <w:abstractNumId w:val="11"/>
  </w:num>
  <w:num w:numId="6">
    <w:abstractNumId w:val="9"/>
  </w:num>
  <w:num w:numId="7">
    <w:abstractNumId w:val="6"/>
  </w:num>
  <w:num w:numId="8">
    <w:abstractNumId w:val="7"/>
  </w:num>
  <w:num w:numId="9">
    <w:abstractNumId w:val="14"/>
  </w:num>
  <w:num w:numId="10">
    <w:abstractNumId w:val="13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6B41"/>
    <w:rsid w:val="0001393A"/>
    <w:rsid w:val="00013AAC"/>
    <w:rsid w:val="00015CCA"/>
    <w:rsid w:val="000170D3"/>
    <w:rsid w:val="00024429"/>
    <w:rsid w:val="000261F5"/>
    <w:rsid w:val="00027AE3"/>
    <w:rsid w:val="000367C9"/>
    <w:rsid w:val="00041D5E"/>
    <w:rsid w:val="00043515"/>
    <w:rsid w:val="00045C1C"/>
    <w:rsid w:val="00050E70"/>
    <w:rsid w:val="000540D8"/>
    <w:rsid w:val="00055B9E"/>
    <w:rsid w:val="0006020E"/>
    <w:rsid w:val="000667F1"/>
    <w:rsid w:val="00070433"/>
    <w:rsid w:val="000768B5"/>
    <w:rsid w:val="000845D7"/>
    <w:rsid w:val="0009073B"/>
    <w:rsid w:val="000A0800"/>
    <w:rsid w:val="000A4102"/>
    <w:rsid w:val="000B2AE2"/>
    <w:rsid w:val="000C41D0"/>
    <w:rsid w:val="000C5F8A"/>
    <w:rsid w:val="000D25EF"/>
    <w:rsid w:val="000E2A36"/>
    <w:rsid w:val="000F5EE6"/>
    <w:rsid w:val="00110AFF"/>
    <w:rsid w:val="0011398B"/>
    <w:rsid w:val="00115705"/>
    <w:rsid w:val="00120F06"/>
    <w:rsid w:val="00126074"/>
    <w:rsid w:val="00133416"/>
    <w:rsid w:val="001352C7"/>
    <w:rsid w:val="001361C5"/>
    <w:rsid w:val="00137296"/>
    <w:rsid w:val="001474E2"/>
    <w:rsid w:val="00151A73"/>
    <w:rsid w:val="001567AA"/>
    <w:rsid w:val="00160369"/>
    <w:rsid w:val="00181498"/>
    <w:rsid w:val="00185505"/>
    <w:rsid w:val="001A6BDB"/>
    <w:rsid w:val="001B3713"/>
    <w:rsid w:val="001B79E5"/>
    <w:rsid w:val="001D059E"/>
    <w:rsid w:val="001D4701"/>
    <w:rsid w:val="001E6F77"/>
    <w:rsid w:val="001F08A0"/>
    <w:rsid w:val="001F1B83"/>
    <w:rsid w:val="001F349F"/>
    <w:rsid w:val="00204ACB"/>
    <w:rsid w:val="002269CB"/>
    <w:rsid w:val="00237FFB"/>
    <w:rsid w:val="00242984"/>
    <w:rsid w:val="00253417"/>
    <w:rsid w:val="00254FC4"/>
    <w:rsid w:val="00255EAD"/>
    <w:rsid w:val="00261450"/>
    <w:rsid w:val="00263255"/>
    <w:rsid w:val="00272E88"/>
    <w:rsid w:val="002873F0"/>
    <w:rsid w:val="00297B3A"/>
    <w:rsid w:val="002A147B"/>
    <w:rsid w:val="002A193B"/>
    <w:rsid w:val="002A6FE0"/>
    <w:rsid w:val="002B1DF7"/>
    <w:rsid w:val="002B29F0"/>
    <w:rsid w:val="002C6B58"/>
    <w:rsid w:val="002D100E"/>
    <w:rsid w:val="002D1AD8"/>
    <w:rsid w:val="002E317D"/>
    <w:rsid w:val="002E7CCA"/>
    <w:rsid w:val="0030030A"/>
    <w:rsid w:val="00304087"/>
    <w:rsid w:val="003104FA"/>
    <w:rsid w:val="003215BB"/>
    <w:rsid w:val="003220D9"/>
    <w:rsid w:val="003306AB"/>
    <w:rsid w:val="00332D1E"/>
    <w:rsid w:val="00337499"/>
    <w:rsid w:val="00342974"/>
    <w:rsid w:val="003431E0"/>
    <w:rsid w:val="003573BD"/>
    <w:rsid w:val="00360450"/>
    <w:rsid w:val="00374BD3"/>
    <w:rsid w:val="00394397"/>
    <w:rsid w:val="00395972"/>
    <w:rsid w:val="00395A4A"/>
    <w:rsid w:val="003C0330"/>
    <w:rsid w:val="003C7E15"/>
    <w:rsid w:val="003D195D"/>
    <w:rsid w:val="003E40E8"/>
    <w:rsid w:val="003F3770"/>
    <w:rsid w:val="00402FA6"/>
    <w:rsid w:val="00407224"/>
    <w:rsid w:val="00433A99"/>
    <w:rsid w:val="004423AA"/>
    <w:rsid w:val="00451AF9"/>
    <w:rsid w:val="0045420F"/>
    <w:rsid w:val="00454CBD"/>
    <w:rsid w:val="00461713"/>
    <w:rsid w:val="00464682"/>
    <w:rsid w:val="00467568"/>
    <w:rsid w:val="00470A7F"/>
    <w:rsid w:val="00475F33"/>
    <w:rsid w:val="00480984"/>
    <w:rsid w:val="00491E88"/>
    <w:rsid w:val="0049719C"/>
    <w:rsid w:val="004A1E8D"/>
    <w:rsid w:val="004A7F0B"/>
    <w:rsid w:val="004B0BEA"/>
    <w:rsid w:val="004B2A5F"/>
    <w:rsid w:val="004B6B05"/>
    <w:rsid w:val="004C019D"/>
    <w:rsid w:val="004C09CB"/>
    <w:rsid w:val="004C0BF8"/>
    <w:rsid w:val="004C18C6"/>
    <w:rsid w:val="004E00DA"/>
    <w:rsid w:val="004E11DA"/>
    <w:rsid w:val="004E2D24"/>
    <w:rsid w:val="004E70D4"/>
    <w:rsid w:val="004F0A2E"/>
    <w:rsid w:val="004F1FC4"/>
    <w:rsid w:val="00502E68"/>
    <w:rsid w:val="00507C3B"/>
    <w:rsid w:val="00512A1B"/>
    <w:rsid w:val="00513F92"/>
    <w:rsid w:val="005166FA"/>
    <w:rsid w:val="00525AE6"/>
    <w:rsid w:val="005263B0"/>
    <w:rsid w:val="0052651A"/>
    <w:rsid w:val="005303B7"/>
    <w:rsid w:val="00531CE2"/>
    <w:rsid w:val="00532323"/>
    <w:rsid w:val="00536BD8"/>
    <w:rsid w:val="00541855"/>
    <w:rsid w:val="005419BF"/>
    <w:rsid w:val="0054765C"/>
    <w:rsid w:val="00567182"/>
    <w:rsid w:val="00592CAC"/>
    <w:rsid w:val="00593436"/>
    <w:rsid w:val="00594BB8"/>
    <w:rsid w:val="00596E31"/>
    <w:rsid w:val="005A06E1"/>
    <w:rsid w:val="005A39D5"/>
    <w:rsid w:val="005A78F9"/>
    <w:rsid w:val="005B11CD"/>
    <w:rsid w:val="005B1E06"/>
    <w:rsid w:val="005B47D7"/>
    <w:rsid w:val="005C0915"/>
    <w:rsid w:val="005D5B5A"/>
    <w:rsid w:val="005D6787"/>
    <w:rsid w:val="005D6B6E"/>
    <w:rsid w:val="005E5309"/>
    <w:rsid w:val="005E76B3"/>
    <w:rsid w:val="005E7BC1"/>
    <w:rsid w:val="005F1D50"/>
    <w:rsid w:val="005F33BF"/>
    <w:rsid w:val="005F7BCC"/>
    <w:rsid w:val="00606F60"/>
    <w:rsid w:val="00607A67"/>
    <w:rsid w:val="006136C2"/>
    <w:rsid w:val="00614015"/>
    <w:rsid w:val="006210AD"/>
    <w:rsid w:val="00624A07"/>
    <w:rsid w:val="00627AEB"/>
    <w:rsid w:val="00630150"/>
    <w:rsid w:val="00640C88"/>
    <w:rsid w:val="00660FB9"/>
    <w:rsid w:val="00670D72"/>
    <w:rsid w:val="00675830"/>
    <w:rsid w:val="00677558"/>
    <w:rsid w:val="0068030D"/>
    <w:rsid w:val="00681439"/>
    <w:rsid w:val="00681EEC"/>
    <w:rsid w:val="0068365D"/>
    <w:rsid w:val="00686A8A"/>
    <w:rsid w:val="00687CED"/>
    <w:rsid w:val="00690AB0"/>
    <w:rsid w:val="006921AC"/>
    <w:rsid w:val="00692A86"/>
    <w:rsid w:val="006A06D0"/>
    <w:rsid w:val="006A2686"/>
    <w:rsid w:val="006B2BE0"/>
    <w:rsid w:val="006B4173"/>
    <w:rsid w:val="006C14E4"/>
    <w:rsid w:val="006C66EA"/>
    <w:rsid w:val="006D3423"/>
    <w:rsid w:val="006E6728"/>
    <w:rsid w:val="007000F6"/>
    <w:rsid w:val="00702DDB"/>
    <w:rsid w:val="00722376"/>
    <w:rsid w:val="0072404F"/>
    <w:rsid w:val="00727427"/>
    <w:rsid w:val="00763D35"/>
    <w:rsid w:val="0078406E"/>
    <w:rsid w:val="0079001D"/>
    <w:rsid w:val="007979AA"/>
    <w:rsid w:val="007A16B1"/>
    <w:rsid w:val="007B147B"/>
    <w:rsid w:val="007B2EFB"/>
    <w:rsid w:val="007C482A"/>
    <w:rsid w:val="007C63F8"/>
    <w:rsid w:val="007C7710"/>
    <w:rsid w:val="007D0B6D"/>
    <w:rsid w:val="007D6974"/>
    <w:rsid w:val="007E0060"/>
    <w:rsid w:val="007E047A"/>
    <w:rsid w:val="007E472E"/>
    <w:rsid w:val="007F7996"/>
    <w:rsid w:val="008005EF"/>
    <w:rsid w:val="00800F16"/>
    <w:rsid w:val="00806594"/>
    <w:rsid w:val="008261C1"/>
    <w:rsid w:val="00832006"/>
    <w:rsid w:val="00832509"/>
    <w:rsid w:val="00833033"/>
    <w:rsid w:val="008332AD"/>
    <w:rsid w:val="0083493C"/>
    <w:rsid w:val="00840C06"/>
    <w:rsid w:val="00845669"/>
    <w:rsid w:val="00846502"/>
    <w:rsid w:val="00847694"/>
    <w:rsid w:val="00852D69"/>
    <w:rsid w:val="00854844"/>
    <w:rsid w:val="0085567E"/>
    <w:rsid w:val="00856BDC"/>
    <w:rsid w:val="008578F7"/>
    <w:rsid w:val="00860989"/>
    <w:rsid w:val="008629A5"/>
    <w:rsid w:val="00867837"/>
    <w:rsid w:val="00872387"/>
    <w:rsid w:val="008745D0"/>
    <w:rsid w:val="00876810"/>
    <w:rsid w:val="0088056D"/>
    <w:rsid w:val="008843FB"/>
    <w:rsid w:val="008A08E5"/>
    <w:rsid w:val="008A75D0"/>
    <w:rsid w:val="008B1411"/>
    <w:rsid w:val="008C1C6E"/>
    <w:rsid w:val="008C226B"/>
    <w:rsid w:val="008C249D"/>
    <w:rsid w:val="008D1EC4"/>
    <w:rsid w:val="008D4290"/>
    <w:rsid w:val="008D6B41"/>
    <w:rsid w:val="008F095B"/>
    <w:rsid w:val="008F1F88"/>
    <w:rsid w:val="008F2E69"/>
    <w:rsid w:val="009064CD"/>
    <w:rsid w:val="00906893"/>
    <w:rsid w:val="00910AED"/>
    <w:rsid w:val="0091404B"/>
    <w:rsid w:val="00914C96"/>
    <w:rsid w:val="00916289"/>
    <w:rsid w:val="0092454B"/>
    <w:rsid w:val="00936135"/>
    <w:rsid w:val="009406B4"/>
    <w:rsid w:val="00944A0C"/>
    <w:rsid w:val="00950E03"/>
    <w:rsid w:val="009670F4"/>
    <w:rsid w:val="0098000E"/>
    <w:rsid w:val="00982400"/>
    <w:rsid w:val="00984355"/>
    <w:rsid w:val="00995DF8"/>
    <w:rsid w:val="009A0C16"/>
    <w:rsid w:val="009A630E"/>
    <w:rsid w:val="009B769C"/>
    <w:rsid w:val="009D1BCA"/>
    <w:rsid w:val="009D28F0"/>
    <w:rsid w:val="009D4B9C"/>
    <w:rsid w:val="009E79FF"/>
    <w:rsid w:val="009F0ECB"/>
    <w:rsid w:val="00A102B5"/>
    <w:rsid w:val="00A153EB"/>
    <w:rsid w:val="00A21498"/>
    <w:rsid w:val="00A21F35"/>
    <w:rsid w:val="00A23C49"/>
    <w:rsid w:val="00A25DFF"/>
    <w:rsid w:val="00A26993"/>
    <w:rsid w:val="00A42192"/>
    <w:rsid w:val="00A466E4"/>
    <w:rsid w:val="00A51BFB"/>
    <w:rsid w:val="00A57FD7"/>
    <w:rsid w:val="00A607C1"/>
    <w:rsid w:val="00A65581"/>
    <w:rsid w:val="00A7755F"/>
    <w:rsid w:val="00A81F2E"/>
    <w:rsid w:val="00A832B8"/>
    <w:rsid w:val="00A96468"/>
    <w:rsid w:val="00A96846"/>
    <w:rsid w:val="00AB08E1"/>
    <w:rsid w:val="00AB4903"/>
    <w:rsid w:val="00AC5EF2"/>
    <w:rsid w:val="00AD4407"/>
    <w:rsid w:val="00AD4D31"/>
    <w:rsid w:val="00AE3CB6"/>
    <w:rsid w:val="00AF28B8"/>
    <w:rsid w:val="00B011D0"/>
    <w:rsid w:val="00B11ADC"/>
    <w:rsid w:val="00B23551"/>
    <w:rsid w:val="00B262A2"/>
    <w:rsid w:val="00B43495"/>
    <w:rsid w:val="00B46BE2"/>
    <w:rsid w:val="00B56BBE"/>
    <w:rsid w:val="00B572A1"/>
    <w:rsid w:val="00B66A95"/>
    <w:rsid w:val="00B7521B"/>
    <w:rsid w:val="00B7620E"/>
    <w:rsid w:val="00B7754F"/>
    <w:rsid w:val="00B8475C"/>
    <w:rsid w:val="00B91207"/>
    <w:rsid w:val="00B96200"/>
    <w:rsid w:val="00BB307B"/>
    <w:rsid w:val="00BB3B71"/>
    <w:rsid w:val="00BC0C21"/>
    <w:rsid w:val="00BC177E"/>
    <w:rsid w:val="00BC6D3B"/>
    <w:rsid w:val="00BC7240"/>
    <w:rsid w:val="00BE4B3E"/>
    <w:rsid w:val="00BF4B90"/>
    <w:rsid w:val="00BF5463"/>
    <w:rsid w:val="00C04B98"/>
    <w:rsid w:val="00C051B4"/>
    <w:rsid w:val="00C05334"/>
    <w:rsid w:val="00C16F54"/>
    <w:rsid w:val="00C22995"/>
    <w:rsid w:val="00C27DDB"/>
    <w:rsid w:val="00C31C0A"/>
    <w:rsid w:val="00C362C7"/>
    <w:rsid w:val="00C40357"/>
    <w:rsid w:val="00C869A3"/>
    <w:rsid w:val="00C872C3"/>
    <w:rsid w:val="00C91A24"/>
    <w:rsid w:val="00C94228"/>
    <w:rsid w:val="00C97A5F"/>
    <w:rsid w:val="00CA6E55"/>
    <w:rsid w:val="00CA7784"/>
    <w:rsid w:val="00CB30C9"/>
    <w:rsid w:val="00CB37A3"/>
    <w:rsid w:val="00CD1C5C"/>
    <w:rsid w:val="00CE59BB"/>
    <w:rsid w:val="00CF15E1"/>
    <w:rsid w:val="00D02922"/>
    <w:rsid w:val="00D07168"/>
    <w:rsid w:val="00D152C2"/>
    <w:rsid w:val="00D163EE"/>
    <w:rsid w:val="00D17C40"/>
    <w:rsid w:val="00D20A9F"/>
    <w:rsid w:val="00D23A33"/>
    <w:rsid w:val="00D33C89"/>
    <w:rsid w:val="00D34D4B"/>
    <w:rsid w:val="00D3573A"/>
    <w:rsid w:val="00D35F5A"/>
    <w:rsid w:val="00D429F1"/>
    <w:rsid w:val="00D45DDF"/>
    <w:rsid w:val="00D506B4"/>
    <w:rsid w:val="00D51073"/>
    <w:rsid w:val="00D51113"/>
    <w:rsid w:val="00D5655D"/>
    <w:rsid w:val="00D56597"/>
    <w:rsid w:val="00D81291"/>
    <w:rsid w:val="00D84FB0"/>
    <w:rsid w:val="00D951FF"/>
    <w:rsid w:val="00D97C66"/>
    <w:rsid w:val="00DA41AA"/>
    <w:rsid w:val="00DA5165"/>
    <w:rsid w:val="00DD6CFC"/>
    <w:rsid w:val="00DE233C"/>
    <w:rsid w:val="00DE5051"/>
    <w:rsid w:val="00DF3838"/>
    <w:rsid w:val="00E01A6E"/>
    <w:rsid w:val="00E03144"/>
    <w:rsid w:val="00E04F6F"/>
    <w:rsid w:val="00E06F8A"/>
    <w:rsid w:val="00E07983"/>
    <w:rsid w:val="00E2506A"/>
    <w:rsid w:val="00E422C5"/>
    <w:rsid w:val="00E50307"/>
    <w:rsid w:val="00E51BC2"/>
    <w:rsid w:val="00E53244"/>
    <w:rsid w:val="00E53DD3"/>
    <w:rsid w:val="00E60F78"/>
    <w:rsid w:val="00E70730"/>
    <w:rsid w:val="00E7407A"/>
    <w:rsid w:val="00E7750B"/>
    <w:rsid w:val="00E83E2B"/>
    <w:rsid w:val="00E93932"/>
    <w:rsid w:val="00E93AFB"/>
    <w:rsid w:val="00EA031C"/>
    <w:rsid w:val="00EA0FDC"/>
    <w:rsid w:val="00EA46E0"/>
    <w:rsid w:val="00EA6BF8"/>
    <w:rsid w:val="00EB2453"/>
    <w:rsid w:val="00EC4DEC"/>
    <w:rsid w:val="00ED128B"/>
    <w:rsid w:val="00ED2126"/>
    <w:rsid w:val="00ED3A73"/>
    <w:rsid w:val="00EE0109"/>
    <w:rsid w:val="00EE4A92"/>
    <w:rsid w:val="00EE5DE0"/>
    <w:rsid w:val="00EE6397"/>
    <w:rsid w:val="00EF51AD"/>
    <w:rsid w:val="00EF7309"/>
    <w:rsid w:val="00F13B55"/>
    <w:rsid w:val="00F237A9"/>
    <w:rsid w:val="00F23F59"/>
    <w:rsid w:val="00F259AB"/>
    <w:rsid w:val="00F30892"/>
    <w:rsid w:val="00F32CF1"/>
    <w:rsid w:val="00F33041"/>
    <w:rsid w:val="00F35FD5"/>
    <w:rsid w:val="00F40CD7"/>
    <w:rsid w:val="00F51927"/>
    <w:rsid w:val="00F53C1F"/>
    <w:rsid w:val="00F55779"/>
    <w:rsid w:val="00F60585"/>
    <w:rsid w:val="00F64525"/>
    <w:rsid w:val="00F73F2C"/>
    <w:rsid w:val="00F93828"/>
    <w:rsid w:val="00F938B5"/>
    <w:rsid w:val="00FA2085"/>
    <w:rsid w:val="00FA5069"/>
    <w:rsid w:val="00FA5CC6"/>
    <w:rsid w:val="00FB1652"/>
    <w:rsid w:val="00FB4A59"/>
    <w:rsid w:val="00FD2C9C"/>
    <w:rsid w:val="00FE26F1"/>
    <w:rsid w:val="00FE5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lock Tex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6AB"/>
    <w:pPr>
      <w:jc w:val="both"/>
    </w:pPr>
    <w:rPr>
      <w:rFonts w:ascii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dstavecseseznamem1">
    <w:name w:val="Odstavec se seznamem1"/>
    <w:basedOn w:val="Normal"/>
    <w:uiPriority w:val="99"/>
    <w:rsid w:val="00084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51BFB"/>
    <w:pPr>
      <w:tabs>
        <w:tab w:val="center" w:pos="4536"/>
        <w:tab w:val="right" w:pos="9072"/>
      </w:tabs>
    </w:pPr>
    <w:rPr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51BF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rsid w:val="00A51BFB"/>
    <w:pPr>
      <w:tabs>
        <w:tab w:val="center" w:pos="4536"/>
        <w:tab w:val="right" w:pos="9072"/>
      </w:tabs>
    </w:pPr>
    <w:rPr>
      <w:lang w:eastAsia="cs-CZ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51BFB"/>
    <w:rPr>
      <w:rFonts w:ascii="Times New Roman" w:hAnsi="Times New Roman"/>
      <w:sz w:val="24"/>
    </w:rPr>
  </w:style>
  <w:style w:type="character" w:customStyle="1" w:styleId="platne1">
    <w:name w:val="platne1"/>
    <w:uiPriority w:val="99"/>
    <w:rsid w:val="00FD2C9C"/>
  </w:style>
  <w:style w:type="character" w:customStyle="1" w:styleId="google-src-text1">
    <w:name w:val="google-src-text1"/>
    <w:uiPriority w:val="99"/>
    <w:rsid w:val="00FD2C9C"/>
    <w:rPr>
      <w:vanish/>
    </w:rPr>
  </w:style>
  <w:style w:type="paragraph" w:customStyle="1" w:styleId="Rozloendokumentu1">
    <w:name w:val="Rozložení dokumentu1"/>
    <w:basedOn w:val="Normal"/>
    <w:link w:val="RozloendokumentuChar"/>
    <w:uiPriority w:val="99"/>
    <w:semiHidden/>
    <w:rsid w:val="00407224"/>
    <w:pPr>
      <w:shd w:val="clear" w:color="auto" w:fill="000080"/>
    </w:pPr>
    <w:rPr>
      <w:sz w:val="2"/>
      <w:szCs w:val="20"/>
    </w:rPr>
  </w:style>
  <w:style w:type="character" w:customStyle="1" w:styleId="RozloendokumentuChar">
    <w:name w:val="Rozložení dokumentu Char"/>
    <w:link w:val="Rozloendokumentu1"/>
    <w:uiPriority w:val="99"/>
    <w:semiHidden/>
    <w:locked/>
    <w:rsid w:val="00B262A2"/>
    <w:rPr>
      <w:rFonts w:ascii="Times New Roman" w:hAnsi="Times New Roman"/>
      <w:sz w:val="2"/>
      <w:lang w:eastAsia="en-US"/>
    </w:rPr>
  </w:style>
  <w:style w:type="paragraph" w:customStyle="1" w:styleId="Odstavecseseznamem2">
    <w:name w:val="Odstavec se seznamem2"/>
    <w:basedOn w:val="Normal"/>
    <w:uiPriority w:val="99"/>
    <w:rsid w:val="00E53DD3"/>
    <w:pPr>
      <w:ind w:left="72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B0BEA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/>
      <w:sz w:val="2"/>
      <w:lang w:eastAsia="en-US"/>
    </w:rPr>
  </w:style>
  <w:style w:type="paragraph" w:customStyle="1" w:styleId="Stednseznam2zvraznn21">
    <w:name w:val="Střední seznam 2 – zvýraznění 21"/>
    <w:hidden/>
    <w:uiPriority w:val="99"/>
    <w:semiHidden/>
    <w:rsid w:val="00C362C7"/>
    <w:rPr>
      <w:rFonts w:ascii="Times New Roman" w:hAnsi="Times New Roman"/>
      <w:sz w:val="24"/>
      <w:szCs w:val="24"/>
      <w:lang w:eastAsia="en-US"/>
    </w:rPr>
  </w:style>
  <w:style w:type="paragraph" w:customStyle="1" w:styleId="Stednmka1zvraznn21">
    <w:name w:val="Střední mřížka 1 – zvýraznění 21"/>
    <w:basedOn w:val="Normal"/>
    <w:uiPriority w:val="99"/>
    <w:rsid w:val="0092454B"/>
    <w:pPr>
      <w:ind w:left="708"/>
    </w:pPr>
  </w:style>
  <w:style w:type="character" w:styleId="Strong">
    <w:name w:val="Strong"/>
    <w:basedOn w:val="DefaultParagraphFont"/>
    <w:uiPriority w:val="99"/>
    <w:qFormat/>
    <w:locked/>
    <w:rsid w:val="00BC7240"/>
    <w:rPr>
      <w:rFonts w:cs="Times New Roman"/>
      <w:b/>
    </w:rPr>
  </w:style>
  <w:style w:type="character" w:styleId="CommentReference">
    <w:name w:val="annotation reference"/>
    <w:basedOn w:val="DefaultParagraphFont"/>
    <w:uiPriority w:val="99"/>
    <w:semiHidden/>
    <w:rsid w:val="00B2355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B235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B23551"/>
    <w:rPr>
      <w:rFonts w:ascii="Times New Roman" w:hAnsi="Times New Roman"/>
      <w:sz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235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23551"/>
    <w:rPr>
      <w:b/>
    </w:rPr>
  </w:style>
  <w:style w:type="character" w:customStyle="1" w:styleId="spiszn">
    <w:name w:val="spiszn"/>
    <w:basedOn w:val="DefaultParagraphFont"/>
    <w:uiPriority w:val="99"/>
    <w:rsid w:val="00395A4A"/>
    <w:rPr>
      <w:rFonts w:cs="Times New Roman"/>
    </w:rPr>
  </w:style>
  <w:style w:type="paragraph" w:styleId="BlockText">
    <w:name w:val="Block Text"/>
    <w:basedOn w:val="Normal"/>
    <w:uiPriority w:val="99"/>
    <w:rsid w:val="00C051B4"/>
    <w:pPr>
      <w:autoSpaceDE w:val="0"/>
      <w:autoSpaceDN w:val="0"/>
      <w:adjustRightInd w:val="0"/>
      <w:spacing w:before="20" w:after="20"/>
      <w:ind w:left="1440" w:right="1440"/>
      <w:jc w:val="left"/>
    </w:pPr>
    <w:rPr>
      <w:rFonts w:eastAsia="Times New Roman"/>
      <w:sz w:val="20"/>
      <w:szCs w:val="20"/>
      <w:lang w:val="en-US" w:eastAsia="de-DE"/>
    </w:rPr>
  </w:style>
  <w:style w:type="paragraph" w:customStyle="1" w:styleId="Barevnseznamzvraznn11">
    <w:name w:val="Barevný seznam – zvýraznění 11"/>
    <w:basedOn w:val="Normal"/>
    <w:uiPriority w:val="99"/>
    <w:rsid w:val="002D1AD8"/>
    <w:pPr>
      <w:ind w:left="708"/>
    </w:pPr>
  </w:style>
  <w:style w:type="character" w:customStyle="1" w:styleId="RozvrendokumentuChar">
    <w:name w:val="Rozvržení dokumentu Char"/>
    <w:basedOn w:val="DefaultParagraphFont"/>
    <w:uiPriority w:val="99"/>
    <w:semiHidden/>
    <w:locked/>
    <w:rsid w:val="0091404B"/>
    <w:rPr>
      <w:rFonts w:ascii="Times New Roman" w:hAnsi="Times New Roman" w:cs="Times New Roman"/>
      <w:sz w:val="2"/>
      <w:lang w:eastAsia="en-US"/>
    </w:rPr>
  </w:style>
  <w:style w:type="paragraph" w:styleId="Revision">
    <w:name w:val="Revision"/>
    <w:hidden/>
    <w:uiPriority w:val="99"/>
    <w:semiHidden/>
    <w:rsid w:val="0091404B"/>
    <w:rPr>
      <w:rFonts w:ascii="Times New Roman" w:hAnsi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1404B"/>
    <w:pPr>
      <w:ind w:left="708"/>
    </w:pPr>
  </w:style>
  <w:style w:type="paragraph" w:styleId="DocumentMap">
    <w:name w:val="Document Map"/>
    <w:basedOn w:val="Normal"/>
    <w:link w:val="DocumentMapChar"/>
    <w:uiPriority w:val="99"/>
    <w:semiHidden/>
    <w:rsid w:val="00C31C0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42E7"/>
    <w:rPr>
      <w:rFonts w:ascii="Times New Roman" w:hAnsi="Times New Roman"/>
      <w:sz w:val="0"/>
      <w:szCs w:val="0"/>
      <w:lang w:eastAsia="en-US"/>
    </w:rPr>
  </w:style>
  <w:style w:type="character" w:styleId="Hyperlink">
    <w:name w:val="Hyperlink"/>
    <w:basedOn w:val="DefaultParagraphFont"/>
    <w:uiPriority w:val="99"/>
    <w:semiHidden/>
    <w:rsid w:val="00C31C0A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658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1</Pages>
  <Words>2176</Words>
  <Characters>12840</Characters>
  <Application>Microsoft Office Outlook</Application>
  <DocSecurity>0</DocSecurity>
  <Lines>0</Lines>
  <Paragraphs>0</Paragraphs>
  <ScaleCrop>false</ScaleCrop>
  <Company>MHMP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3</dc:title>
  <dc:subject/>
  <dc:creator>havlickova</dc:creator>
  <cp:keywords/>
  <dc:description/>
  <cp:lastModifiedBy>Dobalová Markéta (MHMP, S08)</cp:lastModifiedBy>
  <cp:revision>2</cp:revision>
  <cp:lastPrinted>2013-12-03T10:36:00Z</cp:lastPrinted>
  <dcterms:created xsi:type="dcterms:W3CDTF">2014-01-16T08:30:00Z</dcterms:created>
  <dcterms:modified xsi:type="dcterms:W3CDTF">2014-01-16T08:30:00Z</dcterms:modified>
</cp:coreProperties>
</file>