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f2h9m4fla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Configuración del Entorno de Ejecución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optimizar los recursos de la </w:t>
      </w:r>
      <w:r w:rsidDel="00000000" w:rsidR="00000000" w:rsidRPr="00000000">
        <w:rPr>
          <w:b w:val="1"/>
          <w:bCs w:val="1"/>
          <w:rtl w:val="0"/>
        </w:rPr>
        <w:t xml:space="preserve">Prueba Gratuita de Google Cloud</w:t>
      </w:r>
      <w:r w:rsidDel="00000000" w:rsidR="00000000" w:rsidRPr="00000000">
        <w:rPr>
          <w:rtl w:val="0"/>
        </w:rPr>
        <w:t xml:space="preserve">, se ha desplegado la siguiente infraestructura en </w:t>
      </w:r>
      <w:r w:rsidDel="00000000" w:rsidR="00000000" w:rsidRPr="00000000">
        <w:rPr>
          <w:b w:val="1"/>
          <w:bCs w:val="1"/>
          <w:rtl w:val="0"/>
        </w:rPr>
        <w:t xml:space="preserve">Vertex AI - Colab Enterprise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Vertex AI - Colab Enterprise.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Instancia:</w:t>
      </w:r>
      <w:r w:rsidDel="00000000" w:rsidR="00000000" w:rsidRPr="00000000">
        <w:rPr>
          <w:rtl w:val="0"/>
        </w:rPr>
        <w:t xml:space="preserve"> Instancia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e2-standard-2</w:t>
      </w:r>
      <w:r w:rsidDel="00000000" w:rsidR="00000000" w:rsidRPr="00000000">
        <w:rPr>
          <w:rtl w:val="0"/>
        </w:rPr>
        <w:t xml:space="preserve"> ((2 vCPUs, 8 GB RAM). Equilibra el rendimiento necesario con un bajo consumo de créditos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Administrada por Google para garantizar conectividad inmediata y seguridad sin costos adicionales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Gobernanza:</w:t>
      </w:r>
      <w:r w:rsidDel="00000000" w:rsidR="00000000" w:rsidRPr="00000000">
        <w:rPr>
          <w:rtl w:val="0"/>
        </w:rPr>
        <w:t xml:space="preserve"> Apagado automático a los 60 min.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68cr0rbpl0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Arquitectura ML: Pipeline y Flujo de Trabajo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Machine Learning define el proceso lógico para transformar datos en conocimiento accionable. Se ha diseñado un </w:t>
      </w:r>
      <w:r w:rsidDel="00000000" w:rsidR="00000000" w:rsidRPr="00000000">
        <w:rPr>
          <w:b w:val="1"/>
          <w:bCs w:val="1"/>
          <w:rtl w:val="0"/>
        </w:rPr>
        <w:t xml:space="preserve">Pipeline de 4 capas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Introducción:</w:t>
      </w:r>
      <w:r w:rsidDel="00000000" w:rsidR="00000000" w:rsidRPr="00000000">
        <w:rPr>
          <w:rtl w:val="0"/>
        </w:rPr>
        <w:t xml:space="preserve"> Carga de datos inmutables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/data/raw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Transformación (ETL):</w:t>
      </w:r>
      <w:r w:rsidDel="00000000" w:rsidR="00000000" w:rsidRPr="00000000">
        <w:rPr>
          <w:rtl w:val="0"/>
        </w:rPr>
        <w:t xml:space="preserve"> Procesamiento de variables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Income_Category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Total_Trans_Ct</w:t>
      </w:r>
      <w:r w:rsidDel="00000000" w:rsidR="00000000" w:rsidRPr="00000000">
        <w:rPr>
          <w:rtl w:val="0"/>
        </w:rPr>
        <w:t xml:space="preserve"> para normalizar escalas y manejar valores nulos.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Modelado:</w:t>
      </w:r>
      <w:r w:rsidDel="00000000" w:rsidR="00000000" w:rsidRPr="00000000">
        <w:rPr>
          <w:rtl w:val="0"/>
        </w:rPr>
        <w:t xml:space="preserve"> Entrenamiento utilizando un split de 80/20, enfocado en algoritmos de ensamble (XGBoost/Random Forest).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Validación cruzada y registro de experimentos en MLflow para asegurar la trazabilidad del modelo.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pnm9f8xgv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del Repositorio ML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repositorio ha sido estructurado siguiendo estándares de la industria para garantizar la colaboración entre los roles de Data Engineering, EDA y Metrics.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Directorios: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/data: </w:t>
      </w:r>
      <w:r w:rsidDel="00000000" w:rsidR="00000000" w:rsidRPr="00000000">
        <w:rPr>
          <w:rtl w:val="0"/>
        </w:rPr>
        <w:t xml:space="preserve">Datos del equipo de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/raw</w:t>
      </w:r>
      <w:r w:rsidDel="00000000" w:rsidR="00000000" w:rsidRPr="00000000">
        <w:rPr>
          <w:rtl w:val="0"/>
        </w:rPr>
        <w:t xml:space="preserve">: Almacenamiento de registros originales (Inmutable).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/processed</w:t>
      </w:r>
      <w:r w:rsidDel="00000000" w:rsidR="00000000" w:rsidRPr="00000000">
        <w:rPr>
          <w:rtl w:val="0"/>
        </w:rPr>
        <w:t xml:space="preserve">: Datos tras la limpieza y feature engineering.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/notebooks</w:t>
      </w:r>
      <w:r w:rsidDel="00000000" w:rsidR="00000000" w:rsidRPr="00000000">
        <w:rPr>
          <w:rtl w:val="0"/>
        </w:rPr>
        <w:t xml:space="preserve">: Segmentación por prefijos para trazabilidad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01_eda_rocio.ipynb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02_modelado_sergio.ipynb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  <w:t xml:space="preserve">: Scripts de producción para el pipeline.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</w:t>
      </w:r>
      <w:r w:rsidDel="00000000" w:rsidR="00000000" w:rsidRPr="00000000">
        <w:rPr>
          <w:rtl w:val="0"/>
        </w:rPr>
        <w:t xml:space="preserve">: Scripts de limpieza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/models</w:t>
      </w:r>
      <w:r w:rsidDel="00000000" w:rsidR="00000000" w:rsidRPr="00000000">
        <w:rPr>
          <w:rtl w:val="0"/>
        </w:rPr>
        <w:t xml:space="preserve">: Scripts de entrenamiento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 Control de versiones de librerías (Pandas, Scikit-Learn, XGBoost).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: Documentos de arquitectura y consulta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6fiehvxko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p5tghcul1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Estrategia de KPIs Técnicos y Justificación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de los KPIs se basa en el impacto económico que tiene la pérdida de un cliente para la Fintech, por encima de la exactitud global del modelo.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7az3rjcka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Métrica Estrella: Recall (Sensibilidad)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Inicial:</w:t>
      </w:r>
      <w:r w:rsidDel="00000000" w:rsidR="00000000" w:rsidRPr="00000000">
        <w:rPr>
          <w:rtl w:val="0"/>
        </w:rPr>
        <w:t xml:space="preserve"> 80% - 85%.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Dado que el costo de retener a un cliente (Falso Positivo) es menor al costo de perderlo (Falso Negativo), priorizamos capturar la mayor cantidad de cancelaciones reales.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Consideración de Datos:</w:t>
      </w:r>
      <w:r w:rsidDel="00000000" w:rsidR="00000000" w:rsidRPr="00000000">
        <w:rPr>
          <w:rtl w:val="0"/>
        </w:rPr>
        <w:t xml:space="preserve"> Con una base de prueba del 20% ($n=2,000$), el Recall tendrá una estabilidad estadística alta para validar las hipótesis de negocio.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wzzesc3eb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Métrica de Equilibrio: F1-Score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Inicial:</w:t>
      </w:r>
      <w:r w:rsidDel="00000000" w:rsidR="00000000" w:rsidRPr="00000000">
        <w:rPr>
          <w:rtl w:val="0"/>
        </w:rPr>
        <w:t xml:space="preserve"> &gt; 0.75.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Actúa como regulador para asegurar que el modelo no sea excesivamente conservador, manteniendo una precisión que haga viable la operación del equipo de marketing.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s0gyzg3hp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Métrica de Estabilidad: PSI (Population Stability Index)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&lt; 0.1.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Vital para detectar si cambios en variables críticas (como el límite de crédito o el total de transacciones) invalidan el modelo en el tiempo.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zo6v3zmrr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Decisiones sobre el Flujo de Datos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 optado por un split de </w:t>
      </w:r>
      <w:r w:rsidDel="00000000" w:rsidR="00000000" w:rsidRPr="00000000">
        <w:rPr>
          <w:b w:val="1"/>
          <w:bCs w:val="1"/>
          <w:rtl w:val="0"/>
        </w:rPr>
        <w:t xml:space="preserve">80% Entrenamiento / 20% Prueba</w:t>
      </w:r>
      <w:r w:rsidDel="00000000" w:rsidR="00000000" w:rsidRPr="00000000">
        <w:rPr>
          <w:rtl w:val="0"/>
        </w:rPr>
        <w:t xml:space="preserve">. Esta decisión se fundamenta en tener una muestra de prueba de 2,000 registros, lo suficientemente grande como para representar las diversas categorías de ingresos y niveles de educación presentes en el dataset sin sufrir de varianza excesiva en los resultados.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1417.3228346456694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