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A3A5C"/>
          <w:sz w:val="56"/>
          <w:szCs w:val="56"/>
        </w:rPr>
        <w:t xml:space="preserve">SECURITY ASSESSMENT REPORT</w:t>
      </w:r>
    </w:p>
    <w:p>
      <w:pPr>
        <w:spacing w:after="80" w:before="0"/>
        <w:jc w:val="center"/>
      </w:pPr>
      <w:r>
        <w:rPr>
          <w:rFonts w:ascii="Arial" w:cs="Arial" w:eastAsia="Arial" w:hAnsi="Arial"/>
          <w:color w:val="555555"/>
          <w:sz w:val="32"/>
          <w:szCs w:val="32"/>
        </w:rPr>
        <w:t xml:space="preserve">Nyaymalaw Agentic Platform</w:t>
      </w:r>
    </w:p>
    <w:p>
      <w:pPr>
        <w:spacing w:after="480" w:before="0"/>
        <w:jc w:val="center"/>
      </w:pPr>
      <w:r>
        <w:rPr>
          <w:rFonts w:ascii="Arial" w:cs="Arial" w:eastAsia="Arial" w:hAnsi="Arial"/>
          <w:color w:val="888888"/>
          <w:sz w:val="24"/>
          <w:szCs w:val="24"/>
        </w:rPr>
        <w:t xml:space="preserve">April 2026  |  Pre-Production Review</w:t>
      </w:r>
    </w:p>
    <w:p>
      <w:pPr>
        <w:pBdr>
          <w:bottom w:val="single" w:color="D5D8DC" w:sz="2" w:space="2"/>
        </w:pBdr>
        <w:spacing w:after="120" w:before="120"/>
      </w:pPr>
      <w:r>
        <w:t xml:space="preserve"/>
      </w:r>
    </w:p>
    <w:p>
      <w:pPr>
        <w:spacing w:after="80" w:before="80"/>
      </w:pPr>
      <w:r>
        <w:t xml:space="preserve"/>
      </w:r>
    </w:p>
    <w:p>
      <w:pPr>
        <w:pStyle w:val="Heading1"/>
        <w:pBdr>
          <w:bottom w:val="single" w:color="1A3A5C" w:sz="4" w:space="4"/>
        </w:pBdr>
        <w:spacing w:after="160" w:before="320"/>
      </w:pPr>
      <w:r>
        <w:rPr>
          <w:rFonts w:ascii="Arial" w:cs="Arial" w:eastAsia="Arial" w:hAnsi="Arial"/>
          <w:b/>
          <w:bCs/>
          <w:color w:val="1A3A5C"/>
          <w:sz w:val="32"/>
          <w:szCs w:val="32"/>
        </w:rPr>
        <w:t xml:space="preserve">1. Executive Summary</w:t>
      </w:r>
    </w:p>
    <w:p>
      <w:pPr>
        <w:spacing w:after="60" w:before="60"/>
      </w:pPr>
      <w:r>
        <w:rPr>
          <w:rFonts w:ascii="Arial" w:cs="Arial" w:eastAsia="Arial" w:hAnsi="Arial"/>
          <w:sz w:val="22"/>
          <w:szCs w:val="22"/>
        </w:rPr>
        <w:t xml:space="preserve">A full security audit was conducted across the Nyaymalaw codebase covering the FastAPI server, authentication layer, orchestrator pipeline, file upload handling, prompt injection defences, and configuration. The codebase is architecturally sound and shows strong design intent — but contains several issues that must be resolved before any production deployment.</w:t>
      </w:r>
    </w:p>
    <w:p>
      <w:pPr>
        <w:spacing w:after="80" w:before="80"/>
      </w:pPr>
      <w:r>
        <w:t xml:space="preserve"/>
      </w:r>
    </w:p>
    <w:p>
      <w:pPr>
        <w:spacing w:after="60" w:before="60"/>
      </w:pPr>
      <w:r>
        <w:rPr>
          <w:rFonts w:ascii="Arial" w:cs="Arial" w:eastAsia="Arial" w:hAnsi="Arial"/>
          <w:b/>
          <w:bCs/>
          <w:sz w:val="22"/>
          <w:szCs w:val="22"/>
        </w:rPr>
        <w:t xml:space="preserve">Finding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LOW</w:t>
            </w:r>
          </w:p>
        </w:tc>
      </w:tr>
      <w:tr>
        <w:tc>
          <w:tcPr>
            <w:tcW w:type="dxa" w:w="2340"/>
            <w:tcBorders>
              <w:top w:val="single" w:color="D5D8DC" w:sz="1"/>
              <w:left w:val="single" w:color="D5D8DC" w:sz="1"/>
              <w:bottom w:val="single" w:color="D5D8DC" w:sz="1"/>
              <w:right w:val="single" w:color="D5D8DC" w:sz="1"/>
            </w:tcBorders>
            <w:shd w:fill="FADBD8" w:val="clear"/>
            <w:tcMar>
              <w:top w:type="dxa" w:w="120"/>
              <w:left w:type="dxa" w:w="120"/>
              <w:bottom w:type="dxa" w:w="120"/>
              <w:right w:type="dxa" w:w="120"/>
            </w:tcMar>
          </w:tcPr>
          <w:p>
            <w:pPr>
              <w:jc w:val="center"/>
            </w:pPr>
            <w:r>
              <w:rPr>
                <w:rFonts w:ascii="Arial" w:cs="Arial" w:eastAsia="Arial" w:hAnsi="Arial"/>
                <w:b/>
                <w:bCs/>
                <w:color w:val="C0392B"/>
                <w:sz w:val="52"/>
                <w:szCs w:val="52"/>
              </w:rPr>
              <w:t xml:space="preserve">4</w:t>
            </w:r>
          </w:p>
        </w:tc>
        <w:tc>
          <w:tcPr>
            <w:tcW w:type="dxa" w:w="2340"/>
            <w:tcBorders>
              <w:top w:val="single" w:color="D5D8DC" w:sz="1"/>
              <w:left w:val="single" w:color="D5D8DC" w:sz="1"/>
              <w:bottom w:val="single" w:color="D5D8DC" w:sz="1"/>
              <w:right w:val="single" w:color="D5D8DC" w:sz="1"/>
            </w:tcBorders>
            <w:shd w:fill="FDEBD0" w:val="clear"/>
            <w:tcMar>
              <w:top w:type="dxa" w:w="120"/>
              <w:left w:type="dxa" w:w="120"/>
              <w:bottom w:type="dxa" w:w="120"/>
              <w:right w:type="dxa" w:w="120"/>
            </w:tcMar>
          </w:tcPr>
          <w:p>
            <w:pPr>
              <w:jc w:val="center"/>
            </w:pPr>
            <w:r>
              <w:rPr>
                <w:rFonts w:ascii="Arial" w:cs="Arial" w:eastAsia="Arial" w:hAnsi="Arial"/>
                <w:b/>
                <w:bCs/>
                <w:color w:val="E67E22"/>
                <w:sz w:val="52"/>
                <w:szCs w:val="52"/>
              </w:rPr>
              <w:t xml:space="preserve">4</w:t>
            </w:r>
          </w:p>
        </w:tc>
        <w:tc>
          <w:tcPr>
            <w:tcW w:type="dxa" w:w="2340"/>
            <w:tcBorders>
              <w:top w:val="single" w:color="D5D8DC" w:sz="1"/>
              <w:left w:val="single" w:color="D5D8DC" w:sz="1"/>
              <w:bottom w:val="single" w:color="D5D8DC" w:sz="1"/>
              <w:right w:val="single" w:color="D5D8DC" w:sz="1"/>
            </w:tcBorders>
            <w:shd w:fill="FEF9E7" w:val="clear"/>
            <w:tcMar>
              <w:top w:type="dxa" w:w="120"/>
              <w:left w:type="dxa" w:w="120"/>
              <w:bottom w:type="dxa" w:w="120"/>
              <w:right w:type="dxa" w:w="120"/>
            </w:tcMar>
          </w:tcPr>
          <w:p>
            <w:pPr>
              <w:jc w:val="center"/>
            </w:pPr>
            <w:r>
              <w:rPr>
                <w:rFonts w:ascii="Arial" w:cs="Arial" w:eastAsia="Arial" w:hAnsi="Arial"/>
                <w:b/>
                <w:bCs/>
                <w:color w:val="F39C12"/>
                <w:sz w:val="52"/>
                <w:szCs w:val="52"/>
              </w:rPr>
              <w:t xml:space="preserve">5</w:t>
            </w:r>
          </w:p>
        </w:tc>
        <w:tc>
          <w:tcPr>
            <w:tcW w:type="dxa" w:w="2340"/>
            <w:tcBorders>
              <w:top w:val="single" w:color="D5D8DC" w:sz="1"/>
              <w:left w:val="single" w:color="D5D8DC" w:sz="1"/>
              <w:bottom w:val="single" w:color="D5D8DC" w:sz="1"/>
              <w:right w:val="single" w:color="D5D8DC" w:sz="1"/>
            </w:tcBorders>
            <w:shd w:fill="EAFAF1" w:val="clear"/>
            <w:tcMar>
              <w:top w:type="dxa" w:w="120"/>
              <w:left w:type="dxa" w:w="120"/>
              <w:bottom w:type="dxa" w:w="120"/>
              <w:right w:type="dxa" w:w="120"/>
            </w:tcMar>
          </w:tcPr>
          <w:p>
            <w:pPr>
              <w:jc w:val="center"/>
            </w:pPr>
            <w:r>
              <w:rPr>
                <w:rFonts w:ascii="Arial" w:cs="Arial" w:eastAsia="Arial" w:hAnsi="Arial"/>
                <w:b/>
                <w:bCs/>
                <w:color w:val="27AE60"/>
                <w:sz w:val="52"/>
                <w:szCs w:val="52"/>
              </w:rPr>
              <w:t xml:space="preserve">2</w:t>
            </w:r>
          </w:p>
        </w:tc>
      </w:tr>
    </w:tbl>
    <w:p>
      <w:pPr>
        <w:spacing w:after="80" w:before="80"/>
      </w:pPr>
      <w:r>
        <w:t xml:space="preserve"/>
      </w:r>
    </w:p>
    <w:p>
      <w:pPr>
        <w:spacing w:after="60" w:before="60"/>
      </w:pPr>
      <w:r>
        <w:rPr>
          <w:rFonts w:ascii="Arial" w:cs="Arial" w:eastAsia="Arial" w:hAnsi="Arial"/>
          <w:sz w:val="22"/>
          <w:szCs w:val="22"/>
        </w:rPr>
        <w:t xml:space="preserve">Two issues require immediate action before any further development: the live OpenAI API key exposed in .env must be rotated now, and a broken import in the safety guard means the LLM content classifier is completely inactive. The remaining critical findings (weak password hashing and absent authentication on the upload endpoint) must be fixed before any user-facing deployment.</w:t>
      </w:r>
    </w:p>
    <w:p>
      <w:pPr>
        <w:spacing w:after="80" w:before="80"/>
      </w:pPr>
      <w:r>
        <w:t xml:space="preserve"/>
      </w:r>
    </w:p>
    <w:p>
      <w:pPr>
        <w:pBdr>
          <w:bottom w:val="single" w:color="D5D8DC" w:sz="2" w:space="2"/>
        </w:pBdr>
        <w:spacing w:after="120" w:before="120"/>
      </w:pPr>
      <w:r>
        <w:t xml:space="preserve"/>
      </w:r>
    </w:p>
    <w:p>
      <w:pPr>
        <w:pStyle w:val="Heading1"/>
        <w:pBdr>
          <w:bottom w:val="single" w:color="1A3A5C" w:sz="4" w:space="4"/>
        </w:pBdr>
        <w:spacing w:after="160" w:before="320"/>
      </w:pPr>
      <w:r>
        <w:rPr>
          <w:rFonts w:ascii="Arial" w:cs="Arial" w:eastAsia="Arial" w:hAnsi="Arial"/>
          <w:b/>
          <w:bCs/>
          <w:color w:val="1A3A5C"/>
          <w:sz w:val="32"/>
          <w:szCs w:val="32"/>
        </w:rPr>
        <w:t xml:space="preserve">2. All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200"/>
        <w:gridCol w:w="3480"/>
        <w:gridCol w:w="2000"/>
      </w:tblGrid>
      <w:tr>
        <w:tc>
          <w:tcPr>
            <w:tcW w:type="dxa" w:w="48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Severity</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Location</w:t>
            </w:r>
          </w:p>
        </w:tc>
        <w:tc>
          <w:tcPr>
            <w:tcW w:type="dxa" w:w="348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Finding</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.env (root)</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Live OpenAI API key committed to project folder</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Secrets Exposure</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api_server.py:204</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Passwords hashed with SHA-256 — no salt, no work factor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api_server.py:284</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All endpoints silently degrade to anonymous on bad token</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Authorization</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api_server.py:2260</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/upload-document has no auth and no file size limit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Control</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api_server.py:96–97</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Rate limiting OFF by default; query limits OFF by default</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DoS / Abuse</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2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api_server.py:230–265</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session expiry — tokens valid indefinitely, no logout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Management</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2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api_server.py:162–173</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Internal error_type class name leaked in 500 responses</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Info Disclosure</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2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retrieval/guard.py:18</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import path — LLM safety classifier silently skipped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Broken Safety</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2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api_server.py:75–87</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CORS defaults to allow_origins=[*] with credentials=True</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CORS Misconfiguration</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2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api_server.py:3017</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/propose_index writes to filesystem with no auth or size cap</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 File Write</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2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retrieval/guard.py:40</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Prompt injection patterns are thin — Unicode/base64 bypass</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Prompt Injection</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2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agents/orchestrator.py:803</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Conversation history re-enters LLM without re-sanitisation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Injection</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2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config.py:47–50</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LangSmith tracing may send PII to third-party if enabled</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Data Privacy</w:t>
            </w:r>
          </w:p>
        </w:tc>
      </w:tr>
      <w:tr>
        <w:tc>
          <w:tcPr>
            <w:tcW w:type="dxa" w:w="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200"/>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api_server.py:97</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_rate_store dict never pruned — unbounded memory growth</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Memory Leak</w:t>
            </w:r>
          </w:p>
        </w:tc>
      </w:tr>
      <w:tr>
        <w:tc>
          <w:tcPr>
            <w:tcW w:type="dxa" w:w="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200"/>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retrieval/guard.py:60</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PII patterns miss phone, passport, voter ID, GST numbers</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PII Detection</w:t>
            </w:r>
          </w:p>
        </w:tc>
      </w:tr>
    </w:tbl>
    <w:p>
      <w:pPr>
        <w:spacing w:after="80" w:before="80"/>
      </w:pPr>
      <w:r>
        <w:t xml:space="preserve"/>
      </w:r>
    </w:p>
    <w:p>
      <w:pPr>
        <w:pBdr>
          <w:bottom w:val="single" w:color="D5D8DC" w:sz="2" w:space="2"/>
        </w:pBdr>
        <w:spacing w:after="120" w:before="120"/>
      </w:pPr>
      <w:r>
        <w:t xml:space="preserve"/>
      </w:r>
    </w:p>
    <w:p>
      <w:pPr>
        <w:pStyle w:val="Heading1"/>
        <w:pBdr>
          <w:bottom w:val="single" w:color="1A3A5C" w:sz="4" w:space="4"/>
        </w:pBdr>
        <w:spacing w:after="160" w:before="320"/>
      </w:pPr>
      <w:r>
        <w:rPr>
          <w:rFonts w:ascii="Arial" w:cs="Arial" w:eastAsia="Arial" w:hAnsi="Arial"/>
          <w:b/>
          <w:bCs/>
          <w:color w:val="1A3A5C"/>
          <w:sz w:val="32"/>
          <w:szCs w:val="32"/>
        </w:rPr>
        <w:t xml:space="preserve">3. Detailed Findings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40"/>
              <w:right w:type="dxa" w:w="200"/>
            </w:tcMar>
          </w:tcPr>
          <w:p>
            <w:r>
              <w:rPr>
                <w:rFonts w:ascii="Arial" w:cs="Arial" w:eastAsia="Arial" w:hAnsi="Arial"/>
                <w:b/>
                <w:bCs/>
                <w:color w:val="C0392B"/>
                <w:sz w:val="24"/>
                <w:szCs w:val="24"/>
              </w:rPr>
              <w:t xml:space="preserve">[C1] </w:t>
            </w:r>
            <w:r>
              <w:rPr>
                <w:rFonts w:ascii="Arial" w:cs="Arial" w:eastAsia="Arial" w:hAnsi="Arial"/>
                <w:b/>
                <w:bCs/>
                <w:color w:val="1A3A5C"/>
                <w:sz w:val="24"/>
                <w:szCs w:val="24"/>
              </w:rPr>
              <w:t xml:space="preserve">Live API Key in .env File</w:t>
            </w:r>
            <w:r>
              <w:rPr>
                <w:rFonts w:ascii="Arial" w:cs="Arial" w:eastAsia="Arial" w:hAnsi="Arial"/>
              </w:rPr>
              <w:t xml:space="preserve">  </w:t>
            </w:r>
            <w:r>
              <w:rPr>
                <w:rFonts w:ascii="Arial" w:cs="Arial" w:eastAsia="Arial" w:hAnsi="Arial"/>
                <w:b/>
                <w:bCs/>
                <w:color w:val="FFFFFF"/>
                <w:sz w:val="20"/>
                <w:szCs w:val="20"/>
                <w:shd w:fill="C0392B" w:val="clear"/>
              </w:rPr>
              <w:t xml:space="preserve">CRITICAL</w:t>
            </w:r>
          </w:p>
        </w:tc>
      </w:tr>
      <w:tr>
        <w:tc>
          <w:tcPr>
            <w:tcW w:type="dxa" w:w="9360"/>
            <w:tcBorders>
              <w:top w:val="single" w:color="C0392B" w:sz="1"/>
              <w:left w:val="single" w:color="C0392B" w:sz="1"/>
              <w:bottom w:val="single" w:color="C0392B" w:sz="1"/>
              <w:right w:val="single" w:color="C0392B"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.env (project root)</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file .env contains a live OpenAI API key (sk-proj-...). If this directory is shared, backed up, synced to cloud storage, or ever accidentally committed to git, the key is fully compromised. An attacker with the key can impersonate your account, rack up costs, and access any data sent to the API.</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Immediately rotate the key at platform.openai.com. Add .env to .gitignore (verify with: git check-ignore -v .env). Use a secrets manager or environment variables injected at runtime, never stored in files on disk.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40"/>
              <w:right w:type="dxa" w:w="200"/>
            </w:tcMar>
          </w:tcPr>
          <w:p>
            <w:r>
              <w:rPr>
                <w:rFonts w:ascii="Arial" w:cs="Arial" w:eastAsia="Arial" w:hAnsi="Arial"/>
                <w:b/>
                <w:bCs/>
                <w:color w:val="C0392B"/>
                <w:sz w:val="24"/>
                <w:szCs w:val="24"/>
              </w:rPr>
              <w:t xml:space="preserve">[C2] </w:t>
            </w:r>
            <w:r>
              <w:rPr>
                <w:rFonts w:ascii="Arial" w:cs="Arial" w:eastAsia="Arial" w:hAnsi="Arial"/>
                <w:b/>
                <w:bCs/>
                <w:color w:val="1A3A5C"/>
                <w:sz w:val="24"/>
                <w:szCs w:val="24"/>
              </w:rPr>
              <w:t xml:space="preserve">Weak Password Hashing (SHA-256)</w:t>
            </w:r>
            <w:r>
              <w:rPr>
                <w:rFonts w:ascii="Arial" w:cs="Arial" w:eastAsia="Arial" w:hAnsi="Arial"/>
              </w:rPr>
              <w:t xml:space="preserve">  </w:t>
            </w:r>
            <w:r>
              <w:rPr>
                <w:rFonts w:ascii="Arial" w:cs="Arial" w:eastAsia="Arial" w:hAnsi="Arial"/>
                <w:b/>
                <w:bCs/>
                <w:color w:val="FFFFFF"/>
                <w:sz w:val="20"/>
                <w:szCs w:val="20"/>
                <w:shd w:fill="C0392B" w:val="clear"/>
              </w:rPr>
              <w:t xml:space="preserve">CRITICAL</w:t>
            </w:r>
          </w:p>
        </w:tc>
      </w:tr>
      <w:tr>
        <w:tc>
          <w:tcPr>
            <w:tcW w:type="dxa" w:w="9360"/>
            <w:tcBorders>
              <w:top w:val="single" w:color="C0392B" w:sz="1"/>
              <w:left w:val="single" w:color="C0392B" w:sz="1"/>
              <w:bottom w:val="single" w:color="C0392B" w:sz="1"/>
              <w:right w:val="single" w:color="C0392B"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 204</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Passwords are stored as raw SHA-256 hashes with no salt. SHA-256 is a fast cryptographic hash, not a password hash. A GPU can compute billions of SHA-256 hashes per second, making any password under 12 characters crackable in minutes with off-the-shelf tools. No salt means identical passwords produce identical hashes, enabling bulk pre-computation attacks.</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Replace with bcrypt (pip install bcrypt). Change _hash_password() to: bcrypt.hashpw(password.encode(), bcrypt.gensalt()). Update _check_password() to use bcrypt.checkpw(). Run a one-time migration to re-hash existing passwords on next login.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40"/>
              <w:right w:type="dxa" w:w="200"/>
            </w:tcMar>
          </w:tcPr>
          <w:p>
            <w:r>
              <w:rPr>
                <w:rFonts w:ascii="Arial" w:cs="Arial" w:eastAsia="Arial" w:hAnsi="Arial"/>
                <w:b/>
                <w:bCs/>
                <w:color w:val="C0392B"/>
                <w:sz w:val="24"/>
                <w:szCs w:val="24"/>
              </w:rPr>
              <w:t xml:space="preserve">[C3] </w:t>
            </w:r>
            <w:r>
              <w:rPr>
                <w:rFonts w:ascii="Arial" w:cs="Arial" w:eastAsia="Arial" w:hAnsi="Arial"/>
                <w:b/>
                <w:bCs/>
                <w:color w:val="1A3A5C"/>
                <w:sz w:val="24"/>
                <w:szCs w:val="24"/>
              </w:rPr>
              <w:t xml:space="preserve">Silent Anonymous Fallback for All Auth</w:t>
            </w:r>
            <w:r>
              <w:rPr>
                <w:rFonts w:ascii="Arial" w:cs="Arial" w:eastAsia="Arial" w:hAnsi="Arial"/>
              </w:rPr>
              <w:t xml:space="preserve">  </w:t>
            </w:r>
            <w:r>
              <w:rPr>
                <w:rFonts w:ascii="Arial" w:cs="Arial" w:eastAsia="Arial" w:hAnsi="Arial"/>
                <w:b/>
                <w:bCs/>
                <w:color w:val="FFFFFF"/>
                <w:sz w:val="20"/>
                <w:szCs w:val="20"/>
                <w:shd w:fill="C0392B" w:val="clear"/>
              </w:rPr>
              <w:t xml:space="preserve">CRITICAL</w:t>
            </w:r>
          </w:p>
        </w:tc>
      </w:tr>
      <w:tr>
        <w:tc>
          <w:tcPr>
            <w:tcW w:type="dxa" w:w="9360"/>
            <w:tcBorders>
              <w:top w:val="single" w:color="C0392B" w:sz="1"/>
              <w:left w:val="single" w:color="C0392B" w:sz="1"/>
              <w:bottom w:val="single" w:color="C0392B" w:sz="1"/>
              <w:right w:val="single" w:color="C0392B"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 284–315</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_user_from_token() dependency never raises an auth error. Any invalid, expired, or missing token silently becomes the anonymous guest user. This means every endpoint that uses Depends(_user_from_token) effectively has no authentication enforcement. An attacker who deliberately sends a bad token gets full anonymous access to chat history, case data, and all endpoints.</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Separate the dependency into two variants: _user_from_token() (permissive, for public endpoints) and _require_auth() (strict: raises HTTP 401 on missing/invalid token). Apply _require_auth() to all sensitive endpoints: /chats, /chats/{id}, /agent/stream, /submit_case/stream, /conversation/continue/stream.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40"/>
              <w:right w:type="dxa" w:w="200"/>
            </w:tcMar>
          </w:tcPr>
          <w:p>
            <w:r>
              <w:rPr>
                <w:rFonts w:ascii="Arial" w:cs="Arial" w:eastAsia="Arial" w:hAnsi="Arial"/>
                <w:b/>
                <w:bCs/>
                <w:color w:val="C0392B"/>
                <w:sz w:val="24"/>
                <w:szCs w:val="24"/>
              </w:rPr>
              <w:t xml:space="preserve">[C4] </w:t>
            </w:r>
            <w:r>
              <w:rPr>
                <w:rFonts w:ascii="Arial" w:cs="Arial" w:eastAsia="Arial" w:hAnsi="Arial"/>
                <w:b/>
                <w:bCs/>
                <w:color w:val="1A3A5C"/>
                <w:sz w:val="24"/>
                <w:szCs w:val="24"/>
              </w:rPr>
              <w:t xml:space="preserve">Unauthenticated File Upload with No Size Limit</w:t>
            </w:r>
            <w:r>
              <w:rPr>
                <w:rFonts w:ascii="Arial" w:cs="Arial" w:eastAsia="Arial" w:hAnsi="Arial"/>
              </w:rPr>
              <w:t xml:space="preserve">  </w:t>
            </w:r>
            <w:r>
              <w:rPr>
                <w:rFonts w:ascii="Arial" w:cs="Arial" w:eastAsia="Arial" w:hAnsi="Arial"/>
                <w:b/>
                <w:bCs/>
                <w:color w:val="FFFFFF"/>
                <w:sz w:val="20"/>
                <w:szCs w:val="20"/>
                <w:shd w:fill="C0392B" w:val="clear"/>
              </w:rPr>
              <w:t xml:space="preserve">CRITICAL</w:t>
            </w:r>
          </w:p>
        </w:tc>
      </w:tr>
      <w:tr>
        <w:tc>
          <w:tcPr>
            <w:tcW w:type="dxa" w:w="9360"/>
            <w:tcBorders>
              <w:top w:val="single" w:color="C0392B" w:sz="1"/>
              <w:left w:val="single" w:color="C0392B" w:sz="1"/>
              <w:bottom w:val="single" w:color="C0392B" w:sz="1"/>
              <w:right w:val="single" w:color="C0392B"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 2260</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/upload-document endpoint accepts any file from any client with no authentication check, no file size cap, and loads the entire file into memory with await file.read(). A single request with a 2 GB file exhausts server RAM. Combined with no rate limiting, this is a trivial denial-of-service vector against the entire server.</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Add user: dict = Depends(_user_from_token) to the function signature. Add a size check immediately after read: if len(content) &gt; 20_000_000: raise HTTPException(400, 'File exceeds 20 MB limit'). Consider using SpooledTemporaryFile with max_size rather than reading fully into memory.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20"/>
              <w:left w:type="dxa" w:w="200"/>
              <w:bottom w:type="dxa" w:w="40"/>
              <w:right w:type="dxa" w:w="200"/>
            </w:tcMar>
          </w:tcPr>
          <w:p>
            <w:r>
              <w:rPr>
                <w:rFonts w:ascii="Arial" w:cs="Arial" w:eastAsia="Arial" w:hAnsi="Arial"/>
                <w:b/>
                <w:bCs/>
                <w:color w:val="E67E22"/>
                <w:sz w:val="24"/>
                <w:szCs w:val="24"/>
              </w:rPr>
              <w:t xml:space="preserve">[H1] </w:t>
            </w:r>
            <w:r>
              <w:rPr>
                <w:rFonts w:ascii="Arial" w:cs="Arial" w:eastAsia="Arial" w:hAnsi="Arial"/>
                <w:b/>
                <w:bCs/>
                <w:color w:val="1A3A5C"/>
                <w:sz w:val="24"/>
                <w:szCs w:val="24"/>
              </w:rPr>
              <w:t xml:space="preserve">Rate Limiting and Query Limits Disabled by Default</w:t>
            </w:r>
            <w:r>
              <w:rPr>
                <w:rFonts w:ascii="Arial" w:cs="Arial" w:eastAsia="Arial" w:hAnsi="Arial"/>
              </w:rPr>
              <w:t xml:space="preserve">  </w:t>
            </w:r>
            <w:r>
              <w:rPr>
                <w:rFonts w:ascii="Arial" w:cs="Arial" w:eastAsia="Arial" w:hAnsi="Arial"/>
                <w:b/>
                <w:bCs/>
                <w:color w:val="FFFFFF"/>
                <w:sz w:val="20"/>
                <w:szCs w:val="20"/>
                <w:shd w:fill="E67E22" w:val="clear"/>
              </w:rPr>
              <w:t xml:space="preserve">HIGH</w:t>
            </w:r>
          </w:p>
        </w:tc>
      </w:tr>
      <w:tr>
        <w:tc>
          <w:tcPr>
            <w:tcW w:type="dxa" w:w="9360"/>
            <w:tcBorders>
              <w:top w:val="single" w:color="E67E22" w:sz="1"/>
              <w:left w:val="single" w:color="E67E22" w:sz="1"/>
              <w:bottom w:val="single" w:color="E67E22" w:sz="1"/>
              <w:right w:val="single" w:color="E67E2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lines 96–97, 321</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Both _RATE_LIMIT_ENABLED and _QUERY_LIMIT_ENABLED default to false. Any production deployment that omits these env vars has zero throttling. An attacker can hammer the /agent/stream endpoint, exhausting OpenAI API credits and server CPU simultaneously. The rate limit also covers only a hard-coded set of paths and misses /agent/stream entirely.</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Flip both defaults to true. Add /agent/stream to _RATE_LIMITED_PATHS. Lower _RATE_LIMIT_MAX to a sensible value (20–30 per minute per IP for production). For the query limit, also enforce it for anonymous users (currently skipped at line 326).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20"/>
              <w:left w:type="dxa" w:w="200"/>
              <w:bottom w:type="dxa" w:w="40"/>
              <w:right w:type="dxa" w:w="200"/>
            </w:tcMar>
          </w:tcPr>
          <w:p>
            <w:r>
              <w:rPr>
                <w:rFonts w:ascii="Arial" w:cs="Arial" w:eastAsia="Arial" w:hAnsi="Arial"/>
                <w:b/>
                <w:bCs/>
                <w:color w:val="E67E22"/>
                <w:sz w:val="24"/>
                <w:szCs w:val="24"/>
              </w:rPr>
              <w:t xml:space="preserve">[H2] </w:t>
            </w:r>
            <w:r>
              <w:rPr>
                <w:rFonts w:ascii="Arial" w:cs="Arial" w:eastAsia="Arial" w:hAnsi="Arial"/>
                <w:b/>
                <w:bCs/>
                <w:color w:val="1A3A5C"/>
                <w:sz w:val="24"/>
                <w:szCs w:val="24"/>
              </w:rPr>
              <w:t xml:space="preserve">No Session Expiry and No Logout</w:t>
            </w:r>
            <w:r>
              <w:rPr>
                <w:rFonts w:ascii="Arial" w:cs="Arial" w:eastAsia="Arial" w:hAnsi="Arial"/>
              </w:rPr>
              <w:t xml:space="preserve">  </w:t>
            </w:r>
            <w:r>
              <w:rPr>
                <w:rFonts w:ascii="Arial" w:cs="Arial" w:eastAsia="Arial" w:hAnsi="Arial"/>
                <w:b/>
                <w:bCs/>
                <w:color w:val="FFFFFF"/>
                <w:sz w:val="20"/>
                <w:szCs w:val="20"/>
                <w:shd w:fill="E67E22" w:val="clear"/>
              </w:rPr>
              <w:t xml:space="preserve">HIGH</w:t>
            </w:r>
          </w:p>
        </w:tc>
      </w:tr>
      <w:tr>
        <w:tc>
          <w:tcPr>
            <w:tcW w:type="dxa" w:w="9360"/>
            <w:tcBorders>
              <w:top w:val="single" w:color="E67E22" w:sz="1"/>
              <w:left w:val="single" w:color="E67E22" w:sz="1"/>
              <w:bottom w:val="single" w:color="E67E22" w:sz="1"/>
              <w:right w:val="single" w:color="E67E2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lines 230–265</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sessions table has no expiry column. Tokens issued at registration or login are valid indefinitely. There is no /auth/logout endpoint that deletes a session. If a device is stolen, a token is leaked in logs, or a user just wants to sign out, there is no mechanism to invalidate the credential.</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Add an expires_at column to sessions (e.g., 30 days from creation). Add a /auth/logout endpoint: DELETE FROM sessions WHERE token = ? AND user_id = ?. Add a background job or check at auth time to prune expired sessions.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20"/>
              <w:left w:type="dxa" w:w="200"/>
              <w:bottom w:type="dxa" w:w="40"/>
              <w:right w:type="dxa" w:w="200"/>
            </w:tcMar>
          </w:tcPr>
          <w:p>
            <w:r>
              <w:rPr>
                <w:rFonts w:ascii="Arial" w:cs="Arial" w:eastAsia="Arial" w:hAnsi="Arial"/>
                <w:b/>
                <w:bCs/>
                <w:color w:val="E67E22"/>
                <w:sz w:val="24"/>
                <w:szCs w:val="24"/>
              </w:rPr>
              <w:t xml:space="preserve">[H3] </w:t>
            </w:r>
            <w:r>
              <w:rPr>
                <w:rFonts w:ascii="Arial" w:cs="Arial" w:eastAsia="Arial" w:hAnsi="Arial"/>
                <w:b/>
                <w:bCs/>
                <w:color w:val="1A3A5C"/>
                <w:sz w:val="24"/>
                <w:szCs w:val="24"/>
              </w:rPr>
              <w:t xml:space="preserve">Internal Error Type Leaked in 500 Responses</w:t>
            </w:r>
            <w:r>
              <w:rPr>
                <w:rFonts w:ascii="Arial" w:cs="Arial" w:eastAsia="Arial" w:hAnsi="Arial"/>
              </w:rPr>
              <w:t xml:space="preserve">  </w:t>
            </w:r>
            <w:r>
              <w:rPr>
                <w:rFonts w:ascii="Arial" w:cs="Arial" w:eastAsia="Arial" w:hAnsi="Arial"/>
                <w:b/>
                <w:bCs/>
                <w:color w:val="FFFFFF"/>
                <w:sz w:val="20"/>
                <w:szCs w:val="20"/>
                <w:shd w:fill="E67E22" w:val="clear"/>
              </w:rPr>
              <w:t xml:space="preserve">HIGH</w:t>
            </w:r>
          </w:p>
        </w:tc>
      </w:tr>
      <w:tr>
        <w:tc>
          <w:tcPr>
            <w:tcW w:type="dxa" w:w="9360"/>
            <w:tcBorders>
              <w:top w:val="single" w:color="E67E22" w:sz="1"/>
              <w:left w:val="single" w:color="E67E22" w:sz="1"/>
              <w:bottom w:val="single" w:color="E67E22" w:sz="1"/>
              <w:right w:val="single" w:color="E67E2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lines 162–173</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global exception handler returns error_type: type(exc).__name__ to the HTTP client. This leaks internal class names (e.g., AttributeError, KeyError, sqlalchemy.exc.OperationalError) that help an attacker map the internal stack. For a legal AI handling sensitive dispute data, this is unnecessary information disclosure.</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Remove the error_type field from the 500 response. Keep the full traceback logging server-side (already done correctly with logger.error). The client only needs: {"detail": "An internal error occurred. Please try again."}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20"/>
              <w:left w:type="dxa" w:w="200"/>
              <w:bottom w:type="dxa" w:w="40"/>
              <w:right w:type="dxa" w:w="200"/>
            </w:tcMar>
          </w:tcPr>
          <w:p>
            <w:r>
              <w:rPr>
                <w:rFonts w:ascii="Arial" w:cs="Arial" w:eastAsia="Arial" w:hAnsi="Arial"/>
                <w:b/>
                <w:bCs/>
                <w:color w:val="E67E22"/>
                <w:sz w:val="24"/>
                <w:szCs w:val="24"/>
              </w:rPr>
              <w:t xml:space="preserve">[H4] </w:t>
            </w:r>
            <w:r>
              <w:rPr>
                <w:rFonts w:ascii="Arial" w:cs="Arial" w:eastAsia="Arial" w:hAnsi="Arial"/>
                <w:b/>
                <w:bCs/>
                <w:color w:val="1A3A5C"/>
                <w:sz w:val="24"/>
                <w:szCs w:val="24"/>
              </w:rPr>
              <w:t xml:space="preserve">LLM Safety Classifier Silently Skipped (Wrong Import Path)</w:t>
            </w:r>
            <w:r>
              <w:rPr>
                <w:rFonts w:ascii="Arial" w:cs="Arial" w:eastAsia="Arial" w:hAnsi="Arial"/>
              </w:rPr>
              <w:t xml:space="preserve">  </w:t>
            </w:r>
            <w:r>
              <w:rPr>
                <w:rFonts w:ascii="Arial" w:cs="Arial" w:eastAsia="Arial" w:hAnsi="Arial"/>
                <w:b/>
                <w:bCs/>
                <w:color w:val="FFFFFF"/>
                <w:sz w:val="20"/>
                <w:szCs w:val="20"/>
                <w:shd w:fill="E67E22" w:val="clear"/>
              </w:rPr>
              <w:t xml:space="preserve">HIGH</w:t>
            </w:r>
          </w:p>
        </w:tc>
      </w:tr>
      <w:tr>
        <w:tc>
          <w:tcPr>
            <w:tcW w:type="dxa" w:w="9360"/>
            <w:tcBorders>
              <w:top w:val="single" w:color="E67E22" w:sz="1"/>
              <w:left w:val="single" w:color="E67E22" w:sz="1"/>
              <w:bottom w:val="single" w:color="E67E22" w:sz="1"/>
              <w:right w:val="single" w:color="E67E2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retrieval/guard.py line 18</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_llm_is_harmful() function imports from platform_pkg.llm, but the module was renamed to platform during the reorganisation. This import fails silently (the except Exception returns False), so every query is classified as not harmful regardless of content. The LLM-based safety check is entirely non-functional.</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Fix the import: from platform.llm import ask_llm. Then verify it works: python -c "from retrieval.guard import _llm_is_harmful; print(_llm_is_harmful('test'))"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40"/>
              <w:right w:type="dxa" w:w="200"/>
            </w:tcMar>
          </w:tcPr>
          <w:p>
            <w:r>
              <w:rPr>
                <w:rFonts w:ascii="Arial" w:cs="Arial" w:eastAsia="Arial" w:hAnsi="Arial"/>
                <w:b/>
                <w:bCs/>
                <w:color w:val="F39C12"/>
                <w:sz w:val="24"/>
                <w:szCs w:val="24"/>
              </w:rPr>
              <w:t xml:space="preserve">[M1] </w:t>
            </w:r>
            <w:r>
              <w:rPr>
                <w:rFonts w:ascii="Arial" w:cs="Arial" w:eastAsia="Arial" w:hAnsi="Arial"/>
                <w:b/>
                <w:bCs/>
                <w:color w:val="1A3A5C"/>
                <w:sz w:val="24"/>
                <w:szCs w:val="24"/>
              </w:rPr>
              <w:t xml:space="preserve">CORS Wildcard with Credentials Enabled</w:t>
            </w:r>
            <w:r>
              <w:rPr>
                <w:rFonts w:ascii="Arial" w:cs="Arial" w:eastAsia="Arial" w:hAnsi="Arial"/>
              </w:rPr>
              <w:t xml:space="preserve">  </w:t>
            </w:r>
            <w:r>
              <w:rPr>
                <w:rFonts w:ascii="Arial" w:cs="Arial" w:eastAsia="Arial" w:hAnsi="Arial"/>
                <w:b/>
                <w:bCs/>
                <w:color w:val="FFFFFF"/>
                <w:sz w:val="20"/>
                <w:szCs w:val="20"/>
                <w:shd w:fill="F39C12" w:val="clear"/>
              </w:rPr>
              <w:t xml:space="preserve">MEDIUM</w:t>
            </w:r>
          </w:p>
        </w:tc>
      </w:tr>
      <w:tr>
        <w:tc>
          <w:tcPr>
            <w:tcW w:type="dxa" w:w="9360"/>
            <w:tcBorders>
              <w:top w:val="single" w:color="F39C12" w:sz="1"/>
              <w:left w:val="single" w:color="F39C12" w:sz="1"/>
              <w:bottom w:val="single" w:color="F39C12" w:sz="1"/>
              <w:right w:val="single" w:color="F39C1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lines 75–87</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When ALLOWED_ORIGINS is not set, the server uses allow_origins=["*"] alongside allow_credentials=True. Browsers block this combination per the CORS spec (wildcard + credentials is invalid), but some HTTP clients and non-browser consumers ignore this restriction. More importantly, this signals the production security config is an afterthought.</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Set ALLOWED_ORIGINS explicitly in production to the exact frontend origin (e.g., https://nyaymalaw.in). Never use wildcard in production. If multiple origins are needed, enumerate them explicitly.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40"/>
              <w:right w:type="dxa" w:w="200"/>
            </w:tcMar>
          </w:tcPr>
          <w:p>
            <w:r>
              <w:rPr>
                <w:rFonts w:ascii="Arial" w:cs="Arial" w:eastAsia="Arial" w:hAnsi="Arial"/>
                <w:b/>
                <w:bCs/>
                <w:color w:val="F39C12"/>
                <w:sz w:val="24"/>
                <w:szCs w:val="24"/>
              </w:rPr>
              <w:t xml:space="preserve">[M2] </w:t>
            </w:r>
            <w:r>
              <w:rPr>
                <w:rFonts w:ascii="Arial" w:cs="Arial" w:eastAsia="Arial" w:hAnsi="Arial"/>
                <w:b/>
                <w:bCs/>
                <w:color w:val="1A3A5C"/>
                <w:sz w:val="24"/>
                <w:szCs w:val="24"/>
              </w:rPr>
              <w:t xml:space="preserve">Unauthenticated Server-Side File Write</w:t>
            </w:r>
            <w:r>
              <w:rPr>
                <w:rFonts w:ascii="Arial" w:cs="Arial" w:eastAsia="Arial" w:hAnsi="Arial"/>
              </w:rPr>
              <w:t xml:space="preserve">  </w:t>
            </w:r>
            <w:r>
              <w:rPr>
                <w:rFonts w:ascii="Arial" w:cs="Arial" w:eastAsia="Arial" w:hAnsi="Arial"/>
                <w:b/>
                <w:bCs/>
                <w:color w:val="FFFFFF"/>
                <w:sz w:val="20"/>
                <w:szCs w:val="20"/>
                <w:shd w:fill="F39C12" w:val="clear"/>
              </w:rPr>
              <w:t xml:space="preserve">MEDIUM</w:t>
            </w:r>
          </w:p>
        </w:tc>
      </w:tr>
      <w:tr>
        <w:tc>
          <w:tcPr>
            <w:tcW w:type="dxa" w:w="9360"/>
            <w:tcBorders>
              <w:top w:val="single" w:color="F39C12" w:sz="1"/>
              <w:left w:val="single" w:color="F39C12" w:sz="1"/>
              <w:bottom w:val="single" w:color="F39C12" w:sz="1"/>
              <w:right w:val="single" w:color="F39C1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api_server.py line 3017</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/propose_index endpoint accepts arbitrary JSON payloads and writes them to proposed_sections.json on the server filesystem with no authentication, no size limit, and minimal validation. An attacker can flood this endpoint to fill disk space, or inject malicious content that gets indexed later by scripts/index_proposed.py.</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Add Depends(_require_auth) to enforce login. Add a payload size check (reject if section content &gt; 50 KB). Consider moving proposed sections to a database table instead of a flat file.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40"/>
              <w:right w:type="dxa" w:w="200"/>
            </w:tcMar>
          </w:tcPr>
          <w:p>
            <w:r>
              <w:rPr>
                <w:rFonts w:ascii="Arial" w:cs="Arial" w:eastAsia="Arial" w:hAnsi="Arial"/>
                <w:b/>
                <w:bCs/>
                <w:color w:val="F39C12"/>
                <w:sz w:val="24"/>
                <w:szCs w:val="24"/>
              </w:rPr>
              <w:t xml:space="preserve">[M3] </w:t>
            </w:r>
            <w:r>
              <w:rPr>
                <w:rFonts w:ascii="Arial" w:cs="Arial" w:eastAsia="Arial" w:hAnsi="Arial"/>
                <w:b/>
                <w:bCs/>
                <w:color w:val="1A3A5C"/>
                <w:sz w:val="24"/>
                <w:szCs w:val="24"/>
              </w:rPr>
              <w:t xml:space="preserve">Thin Prompt Injection Guard</w:t>
            </w:r>
            <w:r>
              <w:rPr>
                <w:rFonts w:ascii="Arial" w:cs="Arial" w:eastAsia="Arial" w:hAnsi="Arial"/>
              </w:rPr>
              <w:t xml:space="preserve">  </w:t>
            </w:r>
            <w:r>
              <w:rPr>
                <w:rFonts w:ascii="Arial" w:cs="Arial" w:eastAsia="Arial" w:hAnsi="Arial"/>
                <w:b/>
                <w:bCs/>
                <w:color w:val="FFFFFF"/>
                <w:sz w:val="20"/>
                <w:szCs w:val="20"/>
                <w:shd w:fill="F39C12" w:val="clear"/>
              </w:rPr>
              <w:t xml:space="preserve">MEDIUM</w:t>
            </w:r>
          </w:p>
        </w:tc>
      </w:tr>
      <w:tr>
        <w:tc>
          <w:tcPr>
            <w:tcW w:type="dxa" w:w="9360"/>
            <w:tcBorders>
              <w:top w:val="single" w:color="F39C12" w:sz="1"/>
              <w:left w:val="single" w:color="F39C12" w:sz="1"/>
              <w:bottom w:val="single" w:color="F39C12" w:sz="1"/>
              <w:right w:val="single" w:color="F39C1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retrieval/guard.py lines 40–55</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injection guard uses 12 simple regex patterns. Modern prompt injection bypasses these trivially: Unicode look-alike characters (e.g., "ⅈgnore all instructions"), base64-encoded instructions, HTML entity encoding, indirect injection via document text uploaded through /upload-document, or adversarial content in retrieved legal text. The guard can be bypassed by any moderately sophisticated attacker.</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Supplement the regex layer with the LLM classifier (once the import is fixed). Add Unicode normalisation before checking: import unicodedata; text = unicodedata.normalize('NFKC', text). Flag documents uploaded via /upload-document through the same injection check before injecting their text into the LLM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40"/>
              <w:right w:type="dxa" w:w="200"/>
            </w:tcMar>
          </w:tcPr>
          <w:p>
            <w:r>
              <w:rPr>
                <w:rFonts w:ascii="Arial" w:cs="Arial" w:eastAsia="Arial" w:hAnsi="Arial"/>
                <w:b/>
                <w:bCs/>
                <w:color w:val="F39C12"/>
                <w:sz w:val="24"/>
                <w:szCs w:val="24"/>
              </w:rPr>
              <w:t xml:space="preserve">[M4] </w:t>
            </w:r>
            <w:r>
              <w:rPr>
                <w:rFonts w:ascii="Arial" w:cs="Arial" w:eastAsia="Arial" w:hAnsi="Arial"/>
                <w:b/>
                <w:bCs/>
                <w:color w:val="1A3A5C"/>
                <w:sz w:val="24"/>
                <w:szCs w:val="24"/>
              </w:rPr>
              <w:t xml:space="preserve">Conversation History Re-enters LLM Without Sanitisation</w:t>
            </w:r>
            <w:r>
              <w:rPr>
                <w:rFonts w:ascii="Arial" w:cs="Arial" w:eastAsia="Arial" w:hAnsi="Arial"/>
              </w:rPr>
              <w:t xml:space="preserve">  </w:t>
            </w:r>
            <w:r>
              <w:rPr>
                <w:rFonts w:ascii="Arial" w:cs="Arial" w:eastAsia="Arial" w:hAnsi="Arial"/>
                <w:b/>
                <w:bCs/>
                <w:color w:val="FFFFFF"/>
                <w:sz w:val="20"/>
                <w:szCs w:val="20"/>
                <w:shd w:fill="F39C12" w:val="clear"/>
              </w:rPr>
              <w:t xml:space="preserve">MEDIUM</w:t>
            </w:r>
          </w:p>
        </w:tc>
      </w:tr>
      <w:tr>
        <w:tc>
          <w:tcPr>
            <w:tcW w:type="dxa" w:w="9360"/>
            <w:tcBorders>
              <w:top w:val="single" w:color="F39C12" w:sz="1"/>
              <w:left w:val="single" w:color="F39C12" w:sz="1"/>
              <w:bottom w:val="single" w:color="F39C12" w:sz="1"/>
              <w:right w:val="single" w:color="F39C1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agents/orchestrator.py line 803</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The _build_history() method in OrchestratorAgent converts raw conversation messages directly into LangChain message objects without passing them through sanitize_input() or is_prompt_injection(). If an attacker stored an injection payload in a previous turn (including via the legacy /chats endpoint), it re-enters the LLM system prompt context on the next turn, bypassing the safety_check_node entirely.</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In _build_history(), wrap each content string through sanitize_input() and optionally is_prompt_injection() before creating message objects. Discard or truncate any turn whose content triggers the injection check.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40"/>
              <w:right w:type="dxa" w:w="200"/>
            </w:tcMar>
          </w:tcPr>
          <w:p>
            <w:r>
              <w:rPr>
                <w:rFonts w:ascii="Arial" w:cs="Arial" w:eastAsia="Arial" w:hAnsi="Arial"/>
                <w:b/>
                <w:bCs/>
                <w:color w:val="F39C12"/>
                <w:sz w:val="24"/>
                <w:szCs w:val="24"/>
              </w:rPr>
              <w:t xml:space="preserve">[M5] </w:t>
            </w:r>
            <w:r>
              <w:rPr>
                <w:rFonts w:ascii="Arial" w:cs="Arial" w:eastAsia="Arial" w:hAnsi="Arial"/>
                <w:b/>
                <w:bCs/>
                <w:color w:val="1A3A5C"/>
                <w:sz w:val="24"/>
                <w:szCs w:val="24"/>
              </w:rPr>
              <w:t xml:space="preserve">LangSmith Tracing May Send PII to Third Party</w:t>
            </w:r>
            <w:r>
              <w:rPr>
                <w:rFonts w:ascii="Arial" w:cs="Arial" w:eastAsia="Arial" w:hAnsi="Arial"/>
              </w:rPr>
              <w:t xml:space="preserve">  </w:t>
            </w:r>
            <w:r>
              <w:rPr>
                <w:rFonts w:ascii="Arial" w:cs="Arial" w:eastAsia="Arial" w:hAnsi="Arial"/>
                <w:b/>
                <w:bCs/>
                <w:color w:val="FFFFFF"/>
                <w:sz w:val="20"/>
                <w:szCs w:val="20"/>
                <w:shd w:fill="F39C12" w:val="clear"/>
              </w:rPr>
              <w:t xml:space="preserve">MEDIUM</w:t>
            </w:r>
          </w:p>
        </w:tc>
      </w:tr>
      <w:tr>
        <w:tc>
          <w:tcPr>
            <w:tcW w:type="dxa" w:w="9360"/>
            <w:tcBorders>
              <w:top w:val="single" w:color="F39C12" w:sz="1"/>
              <w:left w:val="single" w:color="F39C12" w:sz="1"/>
              <w:bottom w:val="single" w:color="F39C12" w:sz="1"/>
              <w:right w:val="single" w:color="F39C12" w:sz="1"/>
            </w:tcBorders>
            <w:shd w:fill="FFFFFF" w:val="clear"/>
            <w:tcMar>
              <w:top w:type="dxa" w:w="80"/>
              <w:left w:type="dxa" w:w="200"/>
              <w:bottom w:type="dxa" w:w="80"/>
              <w:right w:type="dxa" w:w="200"/>
            </w:tcMar>
          </w:tcPr>
          <w:p>
            <w:pPr>
              <w:spacing w:after="80" w:before="40"/>
            </w:pPr>
            <w:r>
              <w:rPr>
                <w:rFonts w:ascii="Arial" w:cs="Arial" w:eastAsia="Arial" w:hAnsi="Arial"/>
                <w:b/>
                <w:bCs/>
                <w:color w:val="555555"/>
                <w:sz w:val="20"/>
                <w:szCs w:val="20"/>
              </w:rPr>
              <w:t xml:space="preserve">Location:  </w:t>
            </w:r>
            <w:r>
              <w:rPr>
                <w:rFonts w:ascii="Courier New" w:cs="Courier New" w:eastAsia="Courier New" w:hAnsi="Courier New"/>
                <w:color w:val="333333"/>
                <w:sz w:val="20"/>
                <w:szCs w:val="20"/>
              </w:rPr>
              <w:t xml:space="preserve">config.py lines 47–50</w:t>
            </w:r>
          </w:p>
          <w:p>
            <w:pPr>
              <w:spacing w:after="40" w:before="60"/>
            </w:pPr>
            <w:r>
              <w:rPr>
                <w:rFonts w:ascii="Arial" w:cs="Arial" w:eastAsia="Arial" w:hAnsi="Arial"/>
                <w:b/>
                <w:bCs/>
                <w:color w:val="1A3A5C"/>
                <w:sz w:val="22"/>
                <w:szCs w:val="22"/>
              </w:rPr>
              <w:t xml:space="preserve">Issue</w:t>
            </w:r>
          </w:p>
          <w:p>
            <w:pPr>
              <w:spacing w:after="100" w:before="0"/>
            </w:pPr>
            <w:r>
              <w:rPr>
                <w:rFonts w:ascii="Arial" w:cs="Arial" w:eastAsia="Arial" w:hAnsi="Arial"/>
                <w:sz w:val="20"/>
                <w:szCs w:val="20"/>
              </w:rPr>
              <w:t xml:space="preserve">When LANGCHAIN_TRACING_V2=true is set in .env, full conversation content including legal dispute facts, party names, locations, and any PII the user shares is transmitted to LangSmith (api.smith.langchain.com), a third-party US service. For an Indian legal AI handling client disputes, this could constitute a data protection violation without explicit user consent and disclosure.</w:t>
            </w:r>
          </w:p>
          <w:p>
            <w:pPr>
              <w:spacing w:after="40" w:before="60"/>
            </w:pPr>
            <w:r>
              <w:rPr>
                <w:rFonts w:ascii="Arial" w:cs="Arial" w:eastAsia="Arial" w:hAnsi="Arial"/>
                <w:b/>
                <w:bCs/>
                <w:color w:val="27AE60"/>
                <w:sz w:val="22"/>
                <w:szCs w:val="22"/>
              </w:rPr>
              <w:t xml:space="preserve">Fix</w:t>
            </w:r>
          </w:p>
          <w:p>
            <w:pPr>
              <w:spacing w:after="80" w:before="0"/>
            </w:pPr>
            <w:r>
              <w:rPr>
                <w:rFonts w:ascii="Arial" w:cs="Arial" w:eastAsia="Arial" w:hAnsi="Arial"/>
                <w:sz w:val="20"/>
                <w:szCs w:val="20"/>
              </w:rPr>
              <w:t xml:space="preserve">Ensure LANGCHAIN_TRACING_V2 is false in production unless users have explicitly consented to third-party data processing. If tracing is needed for debugging, use LangSmith's data masking features or a self-hosted Langfuse instance instead.</w:t>
            </w:r>
          </w:p>
        </w:tc>
      </w:tr>
    </w:tbl>
    <w:p>
      <w:pPr>
        <w:spacing w:after="80" w:before="80"/>
      </w:pPr>
      <w:r>
        <w:t xml:space="preserve"/>
      </w:r>
    </w:p>
    <w:p>
      <w:pPr>
        <w:pBdr>
          <w:bottom w:val="single" w:color="D5D8DC" w:sz="2" w:space="2"/>
        </w:pBdr>
        <w:spacing w:after="120" w:before="120"/>
      </w:pPr>
      <w:r>
        <w:t xml:space="preserve"/>
      </w:r>
    </w:p>
    <w:p>
      <w:pPr>
        <w:pStyle w:val="Heading1"/>
        <w:pBdr>
          <w:bottom w:val="single" w:color="1A3A5C" w:sz="4" w:space="4"/>
        </w:pBdr>
        <w:spacing w:after="160" w:before="320"/>
      </w:pPr>
      <w:r>
        <w:rPr>
          <w:rFonts w:ascii="Arial" w:cs="Arial" w:eastAsia="Arial" w:hAnsi="Arial"/>
          <w:b/>
          <w:bCs/>
          <w:color w:val="1A3A5C"/>
          <w:sz w:val="32"/>
          <w:szCs w:val="32"/>
        </w:rPr>
        <w:t xml:space="preserve">4. Remediation Roadmap</w:t>
      </w:r>
    </w:p>
    <w:p>
      <w:pPr>
        <w:spacing w:after="60" w:before="60"/>
      </w:pPr>
      <w:r>
        <w:rPr>
          <w:rFonts w:ascii="Arial" w:cs="Arial" w:eastAsia="Arial" w:hAnsi="Arial"/>
          <w:sz w:val="22"/>
          <w:szCs w:val="22"/>
        </w:rPr>
        <w:t xml:space="preserve">Priority bands:</w:t>
      </w:r>
    </w:p>
    <w:p>
      <w:pPr>
        <w:pStyle w:val="ListParagraph"/>
        <w:numPr>
          <w:ilvl w:val="0"/>
          <w:numId w:val="2"/>
        </w:numPr>
        <w:spacing w:after="40" w:before="40"/>
      </w:pPr>
      <w:r>
        <w:rPr>
          <w:rFonts w:ascii="Arial" w:cs="Arial" w:eastAsia="Arial" w:hAnsi="Arial"/>
          <w:b w:val="false"/>
          <w:bCs w:val="false"/>
          <w:sz w:val="22"/>
          <w:szCs w:val="22"/>
        </w:rPr>
        <w:t xml:space="preserve">P0 — Fix immediately, before writing another line of code</w:t>
      </w:r>
    </w:p>
    <w:p>
      <w:pPr>
        <w:pStyle w:val="ListParagraph"/>
        <w:numPr>
          <w:ilvl w:val="0"/>
          <w:numId w:val="2"/>
        </w:numPr>
        <w:spacing w:after="40" w:before="40"/>
      </w:pPr>
      <w:r>
        <w:rPr>
          <w:rFonts w:ascii="Arial" w:cs="Arial" w:eastAsia="Arial" w:hAnsi="Arial"/>
          <w:b w:val="false"/>
          <w:bCs w:val="false"/>
          <w:sz w:val="22"/>
          <w:szCs w:val="22"/>
        </w:rPr>
        <w:t xml:space="preserve">P1 — Fix this week, before any external testing or demo</w:t>
      </w:r>
    </w:p>
    <w:p>
      <w:pPr>
        <w:pStyle w:val="ListParagraph"/>
        <w:numPr>
          <w:ilvl w:val="0"/>
          <w:numId w:val="2"/>
        </w:numPr>
        <w:spacing w:after="40" w:before="40"/>
      </w:pPr>
      <w:r>
        <w:rPr>
          <w:rFonts w:ascii="Arial" w:cs="Arial" w:eastAsia="Arial" w:hAnsi="Arial"/>
          <w:b w:val="false"/>
          <w:bCs w:val="false"/>
          <w:sz w:val="22"/>
          <w:szCs w:val="22"/>
        </w:rPr>
        <w:t xml:space="preserve">P2 — Fix before public / production launch</w:t>
      </w:r>
    </w:p>
    <w:p>
      <w:pPr>
        <w:pStyle w:val="ListParagraph"/>
        <w:numPr>
          <w:ilvl w:val="0"/>
          <w:numId w:val="2"/>
        </w:numPr>
        <w:spacing w:after="40" w:before="40"/>
      </w:pPr>
      <w:r>
        <w:rPr>
          <w:rFonts w:ascii="Arial" w:cs="Arial" w:eastAsia="Arial" w:hAnsi="Arial"/>
          <w:b w:val="false"/>
          <w:bCs w:val="false"/>
          <w:sz w:val="22"/>
          <w:szCs w:val="22"/>
        </w:rPr>
        <w:t xml:space="preserve">P3 — Fix within the first month of operation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2400"/>
        <w:gridCol w:w="2100"/>
      </w:tblGrid>
      <w:tr>
        <w:tc>
          <w:tcPr>
            <w:tcW w:type="dxa" w:w="15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33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Effort</w:t>
            </w:r>
          </w:p>
        </w:tc>
        <w:tc>
          <w:tcPr>
            <w:tcW w:type="dxa" w:w="21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 if Skipped</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P0 — Immediate</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Rotate the OpenAI API key now</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5 minutes</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Unlimited cost / data breach</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P0 — Immediate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 guard.py import (platform_pkg → platform)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minutes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 classifier inactive</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P1 — This week</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Replace SHA-256 with bcrypt for passwords</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Password database crackable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P1 — This week</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auth to /upload-document + file size cap</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DoS / data exfiltration</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P1 — This week</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Enable rate limiting by default; add /agent/stream to list</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30 minutes</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API credit exhaustion</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P1 — This week</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error_type from 500 responses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minutes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stack leakage</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P2 — Pre-launch</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Add session expiry + /auth/logout endpoint</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3 hours</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Stolen token valid forever</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P2 — Pre-launch</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Enforce auth on all sensitive endpoints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 data access</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P2 — Pre-launch</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Add CORS origin allowlist for production</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30 minutes</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Cross-origin abuse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P2 — Pre-launch</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 size cap on /propose_index</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Disk fill / index poisoning</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P3 — Post-launch</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Sanitise conversation history before LLM context</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Multi-turn injection</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P3 — Post-launch</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Expand PII patterns + Unicode-normalise inputs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hours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PII leakage in logs</w:t>
            </w:r>
          </w:p>
        </w:tc>
      </w:tr>
      <w:tr>
        <w:tc>
          <w:tcPr>
            <w:tcW w:type="dxa" w:w="1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bCs/>
                <w:sz w:val="20"/>
                <w:szCs w:val="20"/>
              </w:rPr>
              <w:t xml:space="preserve">P3 — Post-launch</w:t>
            </w:r>
          </w:p>
        </w:tc>
        <w:tc>
          <w:tcPr>
            <w:tcW w:type="dxa" w:w="3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Disable or gate LangSmith tracing behind consent</w:t>
            </w:r>
          </w:p>
        </w:tc>
        <w:tc>
          <w:tcPr>
            <w:tcW w:type="dxa" w:w="2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1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DPDP Act exposure (India)</w:t>
            </w:r>
          </w:p>
        </w:tc>
      </w:tr>
    </w:tbl>
    <w:p>
      <w:pPr>
        <w:spacing w:after="80" w:before="80"/>
      </w:pPr>
      <w:r>
        <w:t xml:space="preserve"/>
      </w:r>
    </w:p>
    <w:p>
      <w:pPr>
        <w:pBdr>
          <w:bottom w:val="single" w:color="D5D8DC" w:sz="2" w:space="2"/>
        </w:pBdr>
        <w:spacing w:after="120" w:before="120"/>
      </w:pPr>
      <w:r>
        <w:t xml:space="preserve"/>
      </w:r>
    </w:p>
    <w:p>
      <w:pPr>
        <w:pStyle w:val="Heading1"/>
        <w:pBdr>
          <w:bottom w:val="single" w:color="1A3A5C" w:sz="4" w:space="4"/>
        </w:pBdr>
        <w:spacing w:after="160" w:before="320"/>
      </w:pPr>
      <w:r>
        <w:rPr>
          <w:rFonts w:ascii="Arial" w:cs="Arial" w:eastAsia="Arial" w:hAnsi="Arial"/>
          <w:b/>
          <w:bCs/>
          <w:color w:val="1A3A5C"/>
          <w:sz w:val="32"/>
          <w:szCs w:val="32"/>
        </w:rPr>
        <w:t xml:space="preserve">5. Strengths Observed</w:t>
      </w:r>
    </w:p>
    <w:p>
      <w:pPr>
        <w:spacing w:after="60" w:before="60"/>
      </w:pPr>
      <w:r>
        <w:rPr>
          <w:rFonts w:ascii="Arial" w:cs="Arial" w:eastAsia="Arial" w:hAnsi="Arial"/>
          <w:sz w:val="22"/>
          <w:szCs w:val="22"/>
        </w:rPr>
        <w:t xml:space="preserve">The following security controls are well-implemented and should be preserved:</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Parameterised SQL throughout — all database queries use ? placeholders, no string concatenation. No SQL injection risk found.</w:t>
      </w:r>
    </w:p>
    <w:p>
      <w:pPr>
        <w:pStyle w:val="ListParagraph"/>
        <w:numPr>
          <w:ilvl w:val="0"/>
          <w:numId w:val="2"/>
        </w:numPr>
        <w:spacing w:after="40" w:before="40"/>
      </w:pPr>
      <w:r>
        <w:rPr>
          <w:rFonts w:ascii="Arial" w:cs="Arial" w:eastAsia="Arial" w:hAnsi="Arial"/>
          <w:b/>
          <w:bCs/>
          <w:sz w:val="22"/>
          <w:szCs w:val="22"/>
        </w:rPr>
        <w:t xml:space="preserve">Path traversal protection in _serve_raw_txt_as_html() — correct os.path.abspath() + startswith() containment check.</w:t>
      </w:r>
    </w:p>
    <w:p>
      <w:pPr>
        <w:pStyle w:val="ListParagraph"/>
        <w:numPr>
          <w:ilvl w:val="0"/>
          <w:numId w:val="2"/>
        </w:numPr>
        <w:spacing w:after="40" w:before="40"/>
      </w:pPr>
      <w:r>
        <w:rPr>
          <w:rFonts w:ascii="Arial" w:cs="Arial" w:eastAsia="Arial" w:hAnsi="Arial"/>
          <w:b/>
          <w:bCs/>
          <w:sz w:val="22"/>
          <w:szCs w:val="22"/>
        </w:rPr>
        <w:t xml:space="preserve">Structured logging with no PII in log messages — log entries truncate user content at 100 characters.</w:t>
      </w:r>
    </w:p>
    <w:p>
      <w:pPr>
        <w:pStyle w:val="ListParagraph"/>
        <w:numPr>
          <w:ilvl w:val="0"/>
          <w:numId w:val="2"/>
        </w:numPr>
        <w:spacing w:after="40" w:before="40"/>
      </w:pPr>
      <w:r>
        <w:rPr>
          <w:rFonts w:ascii="Arial" w:cs="Arial" w:eastAsia="Arial" w:hAnsi="Arial"/>
          <w:b/>
          <w:bCs/>
          <w:sz w:val="22"/>
          <w:szCs w:val="22"/>
        </w:rPr>
        <w:t xml:space="preserve">grounding_guard_node in the orchestrator — citation grounding check is architecturally correct and well-placed.</w:t>
      </w:r>
    </w:p>
    <w:p>
      <w:pPr>
        <w:pStyle w:val="ListParagraph"/>
        <w:numPr>
          <w:ilvl w:val="0"/>
          <w:numId w:val="2"/>
        </w:numPr>
        <w:spacing w:after="40" w:before="40"/>
      </w:pPr>
      <w:r>
        <w:rPr>
          <w:rFonts w:ascii="Arial" w:cs="Arial" w:eastAsia="Arial" w:hAnsi="Arial"/>
          <w:b/>
          <w:bCs/>
          <w:sz w:val="22"/>
          <w:szCs w:val="22"/>
        </w:rPr>
        <w:t xml:space="preserve">secrets.token_urlsafe(32) for session tokens — cryptographically strong, 256-bit entropy. Good.</w:t>
      </w:r>
    </w:p>
    <w:p>
      <w:pPr>
        <w:pStyle w:val="ListParagraph"/>
        <w:numPr>
          <w:ilvl w:val="0"/>
          <w:numId w:val="2"/>
        </w:numPr>
        <w:spacing w:after="40" w:before="40"/>
      </w:pPr>
      <w:r>
        <w:rPr>
          <w:rFonts w:ascii="Arial" w:cs="Arial" w:eastAsia="Arial" w:hAnsi="Arial"/>
          <w:b/>
          <w:bCs/>
          <w:sz w:val="22"/>
          <w:szCs w:val="22"/>
        </w:rPr>
        <w:t xml:space="preserve">Extension allowlist on /upload-document — rejects non-permitted file types before any parsing.</w:t>
      </w:r>
    </w:p>
    <w:p>
      <w:pPr>
        <w:pStyle w:val="ListParagraph"/>
        <w:numPr>
          <w:ilvl w:val="0"/>
          <w:numId w:val="2"/>
        </w:numPr>
        <w:spacing w:after="40" w:before="40"/>
      </w:pPr>
      <w:r>
        <w:rPr>
          <w:rFonts w:ascii="Arial" w:cs="Arial" w:eastAsia="Arial" w:hAnsi="Arial"/>
          <w:b/>
          <w:bCs/>
          <w:sz w:val="22"/>
          <w:szCs w:val="22"/>
        </w:rPr>
        <w:t xml:space="preserve">Input sanitisation (sanitize_input) removes null bytes and control characters before processing.</w:t>
      </w:r>
    </w:p>
    <w:p>
      <w:pPr>
        <w:spacing w:after="80" w:before="80"/>
      </w:pPr>
      <w:r>
        <w:t xml:space="preserve"/>
      </w:r>
    </w:p>
    <w:p>
      <w:pPr>
        <w:pBdr>
          <w:bottom w:val="single" w:color="D5D8DC" w:sz="2" w:space="2"/>
        </w:pBdr>
        <w:spacing w:after="120" w:before="120"/>
      </w:pPr>
      <w:r>
        <w:t xml:space="preserve"/>
      </w:r>
    </w:p>
    <w:p>
      <w:pPr>
        <w:pStyle w:val="Heading1"/>
        <w:pBdr>
          <w:bottom w:val="single" w:color="1A3A5C" w:sz="4" w:space="4"/>
        </w:pBdr>
        <w:spacing w:after="160" w:before="320"/>
      </w:pPr>
      <w:r>
        <w:rPr>
          <w:rFonts w:ascii="Arial" w:cs="Arial" w:eastAsia="Arial" w:hAnsi="Arial"/>
          <w:b/>
          <w:bCs/>
          <w:color w:val="1A3A5C"/>
          <w:sz w:val="32"/>
          <w:szCs w:val="32"/>
        </w:rPr>
        <w:t xml:space="preserve">6. Scope and Methodology</w:t>
      </w:r>
    </w:p>
    <w:p>
      <w:pPr>
        <w:spacing w:after="60" w:before="60"/>
      </w:pPr>
      <w:r>
        <w:rPr>
          <w:rFonts w:ascii="Arial" w:cs="Arial" w:eastAsia="Arial" w:hAnsi="Arial"/>
          <w:sz w:val="22"/>
          <w:szCs w:val="22"/>
        </w:rPr>
        <w:t xml:space="preserve">Files reviewed:</w:t>
      </w:r>
    </w:p>
    <w:p>
      <w:pPr>
        <w:pStyle w:val="ListParagraph"/>
        <w:numPr>
          <w:ilvl w:val="0"/>
          <w:numId w:val="2"/>
        </w:numPr>
        <w:spacing w:after="40" w:before="40"/>
      </w:pPr>
      <w:r>
        <w:rPr>
          <w:rFonts w:ascii="Arial" w:cs="Arial" w:eastAsia="Arial" w:hAnsi="Arial"/>
          <w:b w:val="false"/>
          <w:bCs w:val="false"/>
          <w:sz w:val="22"/>
          <w:szCs w:val="22"/>
        </w:rPr>
        <w:t xml:space="preserve">api_server.py — full read (3,100+ lines)</w:t>
      </w:r>
    </w:p>
    <w:p>
      <w:pPr>
        <w:pStyle w:val="ListParagraph"/>
        <w:numPr>
          <w:ilvl w:val="0"/>
          <w:numId w:val="2"/>
        </w:numPr>
        <w:spacing w:after="40" w:before="40"/>
      </w:pPr>
      <w:r>
        <w:rPr>
          <w:rFonts w:ascii="Arial" w:cs="Arial" w:eastAsia="Arial" w:hAnsi="Arial"/>
          <w:b w:val="false"/>
          <w:bCs w:val="false"/>
          <w:sz w:val="22"/>
          <w:szCs w:val="22"/>
        </w:rPr>
        <w:t xml:space="preserve">agents/orchestrator.py — full read</w:t>
      </w:r>
    </w:p>
    <w:p>
      <w:pPr>
        <w:pStyle w:val="ListParagraph"/>
        <w:numPr>
          <w:ilvl w:val="0"/>
          <w:numId w:val="2"/>
        </w:numPr>
        <w:spacing w:after="40" w:before="40"/>
      </w:pPr>
      <w:r>
        <w:rPr>
          <w:rFonts w:ascii="Arial" w:cs="Arial" w:eastAsia="Arial" w:hAnsi="Arial"/>
          <w:b w:val="false"/>
          <w:bCs w:val="false"/>
          <w:sz w:val="22"/>
          <w:szCs w:val="22"/>
        </w:rPr>
        <w:t xml:space="preserve">retrieval/guard.py — full read</w:t>
      </w:r>
    </w:p>
    <w:p>
      <w:pPr>
        <w:pStyle w:val="ListParagraph"/>
        <w:numPr>
          <w:ilvl w:val="0"/>
          <w:numId w:val="2"/>
        </w:numPr>
        <w:spacing w:after="40" w:before="40"/>
      </w:pPr>
      <w:r>
        <w:rPr>
          <w:rFonts w:ascii="Arial" w:cs="Arial" w:eastAsia="Arial" w:hAnsi="Arial"/>
          <w:b w:val="false"/>
          <w:bCs w:val="false"/>
          <w:sz w:val="22"/>
          <w:szCs w:val="22"/>
        </w:rPr>
        <w:t xml:space="preserve">agents/intake/session.py — full read</w:t>
      </w:r>
    </w:p>
    <w:p>
      <w:pPr>
        <w:pStyle w:val="ListParagraph"/>
        <w:numPr>
          <w:ilvl w:val="0"/>
          <w:numId w:val="2"/>
        </w:numPr>
        <w:spacing w:after="40" w:before="40"/>
      </w:pPr>
      <w:r>
        <w:rPr>
          <w:rFonts w:ascii="Arial" w:cs="Arial" w:eastAsia="Arial" w:hAnsi="Arial"/>
          <w:b w:val="false"/>
          <w:bCs w:val="false"/>
          <w:sz w:val="22"/>
          <w:szCs w:val="22"/>
        </w:rPr>
        <w:t xml:space="preserve">config.py — full read</w:t>
      </w:r>
    </w:p>
    <w:p>
      <w:pPr>
        <w:pStyle w:val="ListParagraph"/>
        <w:numPr>
          <w:ilvl w:val="0"/>
          <w:numId w:val="2"/>
        </w:numPr>
        <w:spacing w:after="40" w:before="40"/>
      </w:pPr>
      <w:r>
        <w:rPr>
          <w:rFonts w:ascii="Arial" w:cs="Arial" w:eastAsia="Arial" w:hAnsi="Arial"/>
          <w:b w:val="false"/>
          <w:bCs w:val="false"/>
          <w:sz w:val="22"/>
          <w:szCs w:val="22"/>
        </w:rPr>
        <w:t xml:space="preserve">.env — inspected for secrets</w:t>
      </w:r>
    </w:p>
    <w:p>
      <w:pPr>
        <w:pStyle w:val="ListParagraph"/>
        <w:numPr>
          <w:ilvl w:val="0"/>
          <w:numId w:val="2"/>
        </w:numPr>
        <w:spacing w:after="40" w:before="40"/>
      </w:pPr>
      <w:r>
        <w:rPr>
          <w:rFonts w:ascii="Arial" w:cs="Arial" w:eastAsia="Arial" w:hAnsi="Arial"/>
          <w:b w:val="false"/>
          <w:bCs w:val="false"/>
          <w:sz w:val="22"/>
          <w:szCs w:val="22"/>
        </w:rPr>
        <w:t xml:space="preserve">agents/tool_registry.py, agents/document/agent.py, agents/forum/agent.py — imports reviewed</w:t>
      </w:r>
    </w:p>
    <w:p>
      <w:pPr>
        <w:spacing w:after="80" w:before="80"/>
      </w:pPr>
      <w:r>
        <w:t xml:space="preserve"/>
      </w:r>
    </w:p>
    <w:p>
      <w:pPr>
        <w:spacing w:after="60" w:before="60"/>
      </w:pPr>
      <w:r>
        <w:rPr>
          <w:rFonts w:ascii="Arial" w:cs="Arial" w:eastAsia="Arial" w:hAnsi="Arial"/>
          <w:sz w:val="22"/>
          <w:szCs w:val="22"/>
        </w:rPr>
        <w:t xml:space="preserve">Review approach: manual static analysis against OWASP Top 10, OWASP LLM Top 10, and ASVS Level 2. No dynamic testing or dependency vulnerability scanning was performed in this pass. A follow-up pass using pip-audit and bandit is recommended.</w:t>
      </w:r>
    </w:p>
    <w:p>
      <w:pPr>
        <w:spacing w:after="80" w:before="80"/>
      </w:pPr>
      <w:r>
        <w:t xml:space="preserve"/>
      </w:r>
    </w:p>
    <w:p>
      <w:pPr>
        <w:spacing w:after="60" w:before="60"/>
      </w:pPr>
      <w:r>
        <w:rPr>
          <w:rFonts w:ascii="Arial" w:cs="Arial" w:eastAsia="Arial" w:hAnsi="Arial"/>
          <w:b/>
          <w:bCs/>
          <w:sz w:val="22"/>
          <w:szCs w:val="22"/>
        </w:rPr>
        <w:t xml:space="preserve">Next recommended step: </w:t>
      </w:r>
      <w:r>
        <w:rPr>
          <w:rFonts w:ascii="Arial" w:cs="Arial" w:eastAsia="Arial" w:hAnsi="Arial"/>
          <w:sz w:val="22"/>
          <w:szCs w:val="22"/>
        </w:rPr>
        <w:t xml:space="preserve">run pip-audit on requirements.txt to check for known CVEs in third-party packages, and run bandit -r . for automated static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360"/>
      </w:tabs>
    </w:pPr>
    <w:r>
      <w:rPr>
        <w:rFonts w:ascii="Arial" w:cs="Arial" w:eastAsia="Arial" w:hAnsi="Arial"/>
        <w:color w:val="888888"/>
        <w:sz w:val="18"/>
        <w:szCs w:val="18"/>
      </w:rPr>
      <w:t xml:space="preserve">Nyaymalaw Agentic Platform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tabs>
        <w:tab w:val="right" w:pos="9360"/>
      </w:tabs>
    </w:pPr>
    <w:r>
      <w:rPr>
        <w:rFonts w:ascii="Arial" w:cs="Arial" w:eastAsia="Arial" w:hAnsi="Arial"/>
        <w:b/>
        <w:bCs/>
        <w:color w:val="1A3A5C"/>
        <w:sz w:val="18"/>
        <w:szCs w:val="18"/>
      </w:rPr>
      <w:t xml:space="preserve">NYAYMALAW — SECURITY ASSESSMENT REPORT</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2026-04-10T16:54:51.459Z</dcterms:created>
  <dcterms:modified xsi:type="dcterms:W3CDTF">2026-04-10T16:54:51.459Z</dcterms:modified>
</cp:coreProperties>
</file>

<file path=docProps/custom.xml><?xml version="1.0" encoding="utf-8"?>
<Properties xmlns="http://schemas.openxmlformats.org/officeDocument/2006/custom-properties" xmlns:vt="http://schemas.openxmlformats.org/officeDocument/2006/docPropsVTypes"/>
</file>