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8"/>
          <w:szCs w:val="38"/>
        </w:rPr>
        <w:t xml:space="preserve">Nyaymalaw — Measured Per-Turn Cost Model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Real token measurements from the running server, priced at correct public rates. Companion to the Tranche 1 &amp; 2 prompt audits.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Method.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Token counts are provider-measured (OpenAI usage on every call, captured by the usage recorder in infra/llm.py). I read the cumulative snapshot from the running server before and after individual turns to get clean per-turn deltas. Costs here are recomputed from those real token counts at correct public pricing — NOT taken from the server's own cost field, which is wrong (see §1). Figures labelled “measured” are direct deltas; “projected” figures are extrapolations, clearly marked.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Measured 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advocate-mode, default model settings (no UI model override), on this working tree. Two turn types were isolated cleanly: a smalltalk turn and a substantive opening consult turn. Assess/deliver turns are estimated from the session aggregate, not cleanly isolated.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1. A cost-meter bug found while measuring (fix first)</w:t>
      </w:r>
    </w:p>
    <w:p>
      <w:pPr>
        <w:spacing w:after="7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The token counts are correct, but the server's cost figures are not.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infra/llm.py _price_for() iterates the pricing table by insertion order and returns the first key that is a substring of the model name. Because "gpt-4o" is listed before "gpt-4o-mini" and IS a substring of "gpt-4o-mini-2024-07-18", every gpt-4o-mini call is priced at gpt-4o rates — $2.50/$10.00 per 1M instead of $0.15/$0.60. That is a 16.7× overcharge on the mini bucket, and it flows straight into the per-user budget meter.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Proof from the live snapshot: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server reported the mini bucket (20,765 in / 3,065 out) as $0.0826. At mini pricing that should be $0.0050; at gpt-4o pricing it is exactly $0.0826 — confirming mini is billed as gpt-4o.</w:t>
      </w:r>
    </w:p>
    <w:tbl>
      <w:tblPr>
        <w:tblW w:type="dxa" w:w="1008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C7D0DA" w:sz="2"/>
          <w:insideV w:val="single" w:color="C7D0DA" w:sz="2"/>
        </w:tblBorders>
      </w:tblPr>
      <w:tblGrid>
        <w:gridCol w:w="3600"/>
        <w:gridCol w:w="2160"/>
        <w:gridCol w:w="2160"/>
        <w:gridCol w:w="2160"/>
      </w:tblGrid>
      <w:tr>
        <w:trPr>
          <w:tblHeader/>
        </w:trPr>
        <w:tc>
          <w:tcPr>
            <w:tcW w:type="dxa" w:w="36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Pricing key (USD / 1M tokens)</w:t>
            </w:r>
          </w:p>
        </w:tc>
        <w:tc>
          <w:tcPr>
            <w:tcW w:type="dxa" w:w="21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1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gpt-4o</w:t>
            </w:r>
          </w:p>
        </w:tc>
        <w:tc>
          <w:tcPr>
            <w:tcW w:type="dxa" w:w="21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$2.50</w:t>
            </w:r>
          </w:p>
        </w:tc>
        <w:tc>
          <w:tcPr>
            <w:tcW w:type="dxa" w:w="21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$10.00</w:t>
            </w:r>
          </w:p>
        </w:tc>
        <w:tc>
          <w:tcPr>
            <w:tcW w:type="dxa" w:w="21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21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$0.15</w:t>
            </w:r>
          </w:p>
        </w:tc>
        <w:tc>
          <w:tcPr>
            <w:tcW w:type="dxa" w:w="21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$0.60</w:t>
            </w:r>
          </w:p>
        </w:tc>
        <w:tc>
          <w:tcPr>
            <w:tcW w:type="dxa" w:w="21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shadowed by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1C1C"/>
                <w:sz w:val="18"/>
                <w:szCs w:val="18"/>
              </w:rPr>
              <w:t xml:space="preserve">gpt-4o-mini AS BILLED (bug)</w:t>
            </w:r>
          </w:p>
        </w:tc>
        <w:tc>
          <w:tcPr>
            <w:tcW w:type="dxa" w:w="21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1C1C"/>
                <w:sz w:val="18"/>
                <w:szCs w:val="18"/>
              </w:rPr>
              <w:t xml:space="preserve">$2.50</w:t>
            </w:r>
          </w:p>
        </w:tc>
        <w:tc>
          <w:tcPr>
            <w:tcW w:type="dxa" w:w="21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1C1C"/>
                <w:sz w:val="18"/>
                <w:szCs w:val="18"/>
              </w:rPr>
              <w:t xml:space="preserve">$10.00</w:t>
            </w:r>
          </w:p>
        </w:tc>
        <w:tc>
          <w:tcPr>
            <w:tcW w:type="dxa" w:w="21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1C1C"/>
                <w:sz w:val="18"/>
                <w:szCs w:val="18"/>
              </w:rPr>
              <w:t xml:space="preserve">16.7× high</w:t>
            </w:r>
          </w:p>
        </w:tc>
      </w:tr>
    </w:tbl>
    <w:p>
      <w:pPr>
        <w:spacing w:after="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Fix: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match the most-specific key first (check "gpt-4o-mini" before "gpt-4o"), or use exact/prefix matching on the base model id. One-line change; it makes the budget meter you built actually correct. All costs in this document already use the correct rates.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2. Measured per-turn cost (real deltas, correct pricing)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Each row is a before/after snapshot delta around a single real turn on the live server.</w:t>
      </w:r>
    </w:p>
    <w:tbl>
      <w:tblPr>
        <w:tblW w:type="dxa" w:w="916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C7D0DA" w:sz="2"/>
          <w:insideV w:val="single" w:color="C7D0DA" w:sz="2"/>
        </w:tblBorders>
      </w:tblPr>
      <w:tblGrid>
        <w:gridCol w:w="2760"/>
        <w:gridCol w:w="1500"/>
        <w:gridCol w:w="1400"/>
        <w:gridCol w:w="1500"/>
        <w:gridCol w:w="2000"/>
      </w:tblGrid>
      <w:tr>
        <w:trPr>
          <w:tblHeader/>
        </w:trPr>
        <w:tc>
          <w:tcPr>
            <w:tcW w:type="dxa" w:w="27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Turn type (measured)</w:t>
            </w:r>
          </w:p>
        </w:tc>
        <w:tc>
          <w:tcPr>
            <w:tcW w:type="dxa" w:w="15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LLM calls</w:t>
            </w:r>
          </w:p>
        </w:tc>
        <w:tc>
          <w:tcPr>
            <w:tcW w:type="dxa" w:w="14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gpt-4o calls</w:t>
            </w:r>
          </w:p>
        </w:tc>
        <w:tc>
          <w:tcPr>
            <w:tcW w:type="dxa" w:w="15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20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Real cost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Smalltalk (“hi”)</w:t>
            </w:r>
          </w:p>
        </w:tc>
        <w:tc>
          <w:tcPr>
            <w:tcW w:type="dxa" w:w="15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782</w:t>
            </w:r>
          </w:p>
        </w:tc>
        <w:tc>
          <w:tcPr>
            <w:tcW w:type="dxa" w:w="20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$0.00013</w:t>
            </w:r>
          </w:p>
        </w:tc>
      </w:tr>
      <w:tr>
        <w:tc>
          <w:tcPr>
            <w:tcW w:type="dxa" w:w="27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Substantive consult turn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(opening fact-pattern, advocate)</w:t>
            </w:r>
          </w:p>
        </w:tc>
        <w:tc>
          <w:tcPr>
            <w:tcW w:type="dxa" w:w="15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1C1C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16,722</w:t>
            </w:r>
          </w:p>
        </w:tc>
        <w:tc>
          <w:tcPr>
            <w:tcW w:type="dxa" w:w="20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$0.0496</w:t>
            </w:r>
          </w:p>
        </w:tc>
      </w:tr>
    </w:tbl>
    <w:p>
      <w:pPr>
        <w:spacing w:after="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The headline: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on the substantive turn, gpt-4o is 12 of 17 calls and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98.7% of the real cost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($0.0490 of $0.0496). The five gpt-4o-mini calls together cost $0.0006 — effectively free. The entire cost of a consult turn is the gpt-4o (deliver / force_strong) tier. This empirically confirms the central finding of Tranche 1, §0.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3. Where the 12 gpt-4o calls come from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On a substantive turn the code fires these premium-tier calls before and around the single reply the user sees. The named calls below are gpt-4o by construction (weight="deliver" or force_strong=True in the code); the measured total was 12, the remainder being the answer generation itself plus multi-issue fan-out and any grounding-repair regenerations.</w:t>
      </w:r>
    </w:p>
    <w:tbl>
      <w:tblPr>
        <w:tblW w:type="dxa" w:w="1008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C7D0DA" w:sz="2"/>
          <w:insideV w:val="single" w:color="C7D0DA" w:sz="2"/>
        </w:tblBorders>
      </w:tblPr>
      <w:tblGrid>
        <w:gridCol w:w="4200"/>
        <w:gridCol w:w="3000"/>
        <w:gridCol w:w="2880"/>
      </w:tblGrid>
      <w:tr>
        <w:trPr>
          <w:tblHeader/>
        </w:trPr>
        <w:tc>
          <w:tcPr>
            <w:tcW w:type="dxa" w:w="42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gpt-4o call (per substantive turn)</w:t>
            </w:r>
          </w:p>
        </w:tc>
        <w:tc>
          <w:tcPr>
            <w:tcW w:type="dxa" w:w="30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it's on gpt-4o</w:t>
            </w:r>
          </w:p>
        </w:tc>
        <w:tc>
          <w:tcPr>
            <w:tcW w:type="dxa" w:w="288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Tranche ref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spot_issues</w:t>
            </w:r>
          </w:p>
        </w:tc>
        <w:tc>
          <w:tcPr>
            <w:tcW w:type="dxa" w:w="30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weight=deliver (default)</w:t>
            </w:r>
          </w:p>
        </w:tc>
        <w:tc>
          <w:tcPr>
            <w:tcW w:type="dxa" w:w="288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T1 §11</w:t>
            </w:r>
          </w:p>
        </w:tc>
      </w:tr>
      <w:tr>
        <w:tc>
          <w:tcPr>
            <w:tcW w:type="dxa" w:w="42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resolve_charges</w:t>
            </w:r>
          </w:p>
        </w:tc>
        <w:tc>
          <w:tcPr>
            <w:tcW w:type="dxa" w:w="30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 + force_strong</w:t>
            </w:r>
          </w:p>
        </w:tc>
        <w:tc>
          <w:tcPr>
            <w:tcW w:type="dxa" w:w="288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T1 §14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build_case_theory</w:t>
            </w:r>
          </w:p>
        </w:tc>
        <w:tc>
          <w:tcPr>
            <w:tcW w:type="dxa" w:w="30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weight=deliver (default)</w:t>
            </w:r>
          </w:p>
        </w:tc>
        <w:tc>
          <w:tcPr>
            <w:tcW w:type="dxa" w:w="288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T1 §13</w:t>
            </w:r>
          </w:p>
        </w:tc>
      </w:tr>
      <w:tr>
        <w:tc>
          <w:tcPr>
            <w:tcW w:type="dxa" w:w="42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build_checklist</w:t>
            </w:r>
          </w:p>
        </w:tc>
        <w:tc>
          <w:tcPr>
            <w:tcW w:type="dxa" w:w="30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weight=deliver, every turn, uncached</w:t>
            </w:r>
          </w:p>
        </w:tc>
        <w:tc>
          <w:tcPr>
            <w:tcW w:type="dxa" w:w="288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T1 §12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_consolidate_threads (opening turn)</w:t>
            </w:r>
          </w:p>
        </w:tc>
        <w:tc>
          <w:tcPr>
            <w:tcW w:type="dxa" w:w="30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strong model for clustering</w:t>
            </w:r>
          </w:p>
        </w:tc>
        <w:tc>
          <w:tcPr>
            <w:tcW w:type="dxa" w:w="288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T1 §15</w:t>
            </w:r>
          </w:p>
        </w:tc>
      </w:tr>
      <w:tr>
        <w:tc>
          <w:tcPr>
            <w:tcW w:type="dxa" w:w="42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answer generation + grounding repair(s)</w:t>
            </w:r>
          </w:p>
        </w:tc>
        <w:tc>
          <w:tcPr>
            <w:tcW w:type="dxa" w:w="30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repair loops are force_strong full regenerations</w:t>
            </w:r>
          </w:p>
        </w:tc>
        <w:tc>
          <w:tcPr>
            <w:tcW w:type="dxa" w:w="288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T1 §0, §18</w:t>
            </w:r>
          </w:p>
        </w:tc>
      </w:tr>
    </w:tbl>
    <w:p>
      <w:pPr>
        <w:spacing w:after="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Cost + latency share one root cause.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17 calls per turn, 12 on gpt-4o, several sequential (the repair passes), is also why a substantive turn takes ~60–90 seconds. Cutting the gpt-4o call count cuts both the bill and the wait.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4. Session aggregate (corroboration)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Cumulative real usage across all turns since server start, recomputed at correct pricing:</w:t>
      </w:r>
    </w:p>
    <w:tbl>
      <w:tblPr>
        <w:tblW w:type="dxa" w:w="1008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C7D0DA" w:sz="2"/>
          <w:insideV w:val="single" w:color="C7D0DA" w:sz="2"/>
        </w:tblBorders>
      </w:tblPr>
      <w:tblGrid>
        <w:gridCol w:w="3000"/>
        <w:gridCol w:w="1760"/>
        <w:gridCol w:w="1760"/>
        <w:gridCol w:w="1760"/>
        <w:gridCol w:w="180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7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Calls</w:t>
            </w:r>
          </w:p>
        </w:tc>
        <w:tc>
          <w:tcPr>
            <w:tcW w:type="dxa" w:w="17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 tok</w:t>
            </w:r>
          </w:p>
        </w:tc>
        <w:tc>
          <w:tcPr>
            <w:tcW w:type="dxa" w:w="17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 tok</w:t>
            </w:r>
          </w:p>
        </w:tc>
        <w:tc>
          <w:tcPr>
            <w:tcW w:type="dxa" w:w="18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Real cost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gpt-4o</w:t>
            </w:r>
          </w:p>
        </w:tc>
        <w:tc>
          <w:tcPr>
            <w:tcW w:type="dxa" w:w="17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7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84,802</w:t>
            </w:r>
          </w:p>
        </w:tc>
        <w:tc>
          <w:tcPr>
            <w:tcW w:type="dxa" w:w="17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12,082</w:t>
            </w:r>
          </w:p>
        </w:tc>
        <w:tc>
          <w:tcPr>
            <w:tcW w:type="dxa" w:w="18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$0.3328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7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7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23,381</w:t>
            </w:r>
          </w:p>
        </w:tc>
        <w:tc>
          <w:tcPr>
            <w:tcW w:type="dxa" w:w="17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3,481</w:t>
            </w:r>
          </w:p>
        </w:tc>
        <w:tc>
          <w:tcPr>
            <w:tcW w:type="dxa" w:w="180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$0.0056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7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7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108,183</w:t>
            </w:r>
          </w:p>
        </w:tc>
        <w:tc>
          <w:tcPr>
            <w:tcW w:type="dxa" w:w="17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15,563</w:t>
            </w:r>
          </w:p>
        </w:tc>
        <w:tc>
          <w:tcPr>
            <w:tcW w:type="dxa" w:w="180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$0.3384</w:t>
            </w:r>
          </w:p>
        </w:tc>
      </w:tr>
    </w:tbl>
    <w:p>
      <w:pPr>
        <w:spacing w:after="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gpt-4o is 67% of calls but </w:t>
      </w:r>
      <w:r>
        <w:rPr>
          <w:rFonts w:ascii="Calibri" w:cs="Calibri" w:eastAsia="Calibri" w:hAnsi="Calibri"/>
          <w:b/>
          <w:bCs/>
          <w:i w:val="false"/>
          <w:iCs w:val="false"/>
          <w:color w:val="8A1C1C"/>
          <w:sz w:val="20"/>
          <w:szCs w:val="20"/>
        </w:rPr>
        <w:t xml:space="preserve">98.3% of real cost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(The server's own meter reported $0.4261 for the same usage — $0.088 too high, entirely from the mini-mispricing bug in §1.)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5. Extrapolation: cost per consultation and at volume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full consultation is a mix of turn types. Assess/deliver turns cost more than intake turns because they run the full memo generation plus grounding-repair regenerations (each repair is another full gpt-4o pass). From the session aggregate, the earlier assess turn drove ~3× the gpt-4o calls of a clean intake turn.</w:t>
      </w:r>
    </w:p>
    <w:tbl>
      <w:tblPr>
        <w:tblW w:type="dxa" w:w="1008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C7D0DA" w:sz="2"/>
          <w:insideV w:val="single" w:color="C7D0DA" w:sz="2"/>
        </w:tblBorders>
      </w:tblPr>
      <w:tblGrid>
        <w:gridCol w:w="3960"/>
        <w:gridCol w:w="1560"/>
        <w:gridCol w:w="2280"/>
        <w:gridCol w:w="2280"/>
      </w:tblGrid>
      <w:tr>
        <w:trPr>
          <w:tblHeader/>
        </w:trPr>
        <w:tc>
          <w:tcPr>
            <w:tcW w:type="dxa" w:w="39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(default settings)</w:t>
            </w:r>
          </w:p>
        </w:tc>
        <w:tc>
          <w:tcPr>
            <w:tcW w:type="dxa" w:w="15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Turns</w:t>
            </w:r>
          </w:p>
        </w:tc>
        <w:tc>
          <w:tcPr>
            <w:tcW w:type="dxa" w:w="228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Real cost</w:t>
            </w:r>
          </w:p>
        </w:tc>
        <w:tc>
          <w:tcPr>
            <w:tcW w:type="dxa" w:w="228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Substantive intake turn</w:t>
            </w:r>
          </w:p>
        </w:tc>
        <w:tc>
          <w:tcPr>
            <w:tcW w:type="dxa" w:w="15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$0.050</w:t>
            </w:r>
          </w:p>
        </w:tc>
        <w:tc>
          <w:tcPr>
            <w:tcW w:type="dxa" w:w="228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measured</w:t>
            </w:r>
          </w:p>
        </w:tc>
      </w:tr>
      <w:tr>
        <w:tc>
          <w:tcPr>
            <w:tcW w:type="dxa" w:w="39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Assess / deliver turn</w:t>
            </w:r>
          </w:p>
        </w:tc>
        <w:tc>
          <w:tcPr>
            <w:tcW w:type="dxa" w:w="15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$0.12 – $0.15</w:t>
            </w:r>
          </w:p>
        </w:tc>
        <w:tc>
          <w:tcPr>
            <w:tcW w:type="dxa" w:w="228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projected (~3×)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Full consultation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(1 smalltalk + ~7 intake + ~2 assess/deliver)</w:t>
            </w:r>
          </w:p>
        </w:tc>
        <w:tc>
          <w:tcPr>
            <w:tcW w:type="dxa" w:w="15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~10</w:t>
            </w:r>
          </w:p>
        </w:tc>
        <w:tc>
          <w:tcPr>
            <w:tcW w:type="dxa" w:w="228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$0.45 – $0.65</w:t>
            </w:r>
          </w:p>
        </w:tc>
        <w:tc>
          <w:tcPr>
            <w:tcW w:type="dxa" w:w="228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9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 1,000 consultations</w:t>
            </w:r>
          </w:p>
        </w:tc>
        <w:tc>
          <w:tcPr>
            <w:tcW w:type="dxa" w:w="15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$450 – $650</w:t>
            </w:r>
          </w:p>
        </w:tc>
        <w:tc>
          <w:tcPr>
            <w:tcW w:type="dxa" w:w="228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projected</w:t>
            </w:r>
          </w:p>
        </w:tc>
      </w:tr>
    </w:tbl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4"/>
          <w:szCs w:val="24"/>
        </w:rPr>
        <w:t xml:space="preserve">The three model-override scenarios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UI model selection sets _HEAVY_OVERRIDE, which changes the per-turn cost dramatically — except that force_strong calls (resolve_charges + every repair loop) stay on gpt-4o regardless, so “mini everywhere” never reaches zero gpt-4o.</w:t>
      </w:r>
    </w:p>
    <w:tbl>
      <w:tblPr>
        <w:tblW w:type="dxa" w:w="1008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C7D0DA" w:sz="2"/>
          <w:insideV w:val="single" w:color="C7D0DA" w:sz="2"/>
        </w:tblBorders>
      </w:tblPr>
      <w:tblGrid>
        <w:gridCol w:w="3960"/>
        <w:gridCol w:w="3060"/>
        <w:gridCol w:w="3060"/>
      </w:tblGrid>
      <w:tr>
        <w:trPr>
          <w:tblHeader/>
        </w:trPr>
        <w:tc>
          <w:tcPr>
            <w:tcW w:type="dxa" w:w="39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 intake turn</w:t>
            </w:r>
          </w:p>
        </w:tc>
        <w:tc>
          <w:tcPr>
            <w:tcW w:type="dxa" w:w="30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gpt-4o calls</w:t>
            </w:r>
          </w:p>
        </w:tc>
        <w:tc>
          <w:tcPr>
            <w:tcW w:type="dxa" w:w="30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Real cost / turn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Default (no selection)</w:t>
            </w:r>
          </w:p>
        </w:tc>
        <w:tc>
          <w:tcPr>
            <w:tcW w:type="dxa" w:w="30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$0.050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  (measured)</w:t>
            </w:r>
          </w:p>
        </w:tc>
      </w:tr>
      <w:tr>
        <w:tc>
          <w:tcPr>
            <w:tcW w:type="dxa" w:w="39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UI = gpt-4o-mini</w:t>
            </w:r>
          </w:p>
        </w:tc>
        <w:tc>
          <w:tcPr>
            <w:tcW w:type="dxa" w:w="30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~3 (force_strong only)</w:t>
            </w:r>
          </w:p>
        </w:tc>
        <w:tc>
          <w:tcPr>
            <w:tcW w:type="dxa" w:w="30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~$0.015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  (projected, ~70% less)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UI = gpt-4o</w:t>
            </w:r>
          </w:p>
        </w:tc>
        <w:tc>
          <w:tcPr>
            <w:tcW w:type="dxa" w:w="30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(all)</w:t>
            </w:r>
          </w:p>
        </w:tc>
        <w:tc>
          <w:tcPr>
            <w:tcW w:type="dxa" w:w="30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~$0.06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  (projected)</w:t>
            </w:r>
          </w:p>
        </w:tc>
      </w:tr>
    </w:tbl>
    <w:p>
      <w:pPr>
        <w:spacing w:after="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Note the surprise in row 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selecting the cheap model does NOT make the turn cheap in proportion — resolve_charges and the repair loops override the selection and stay on gpt-4o. The user's cost lever is partially bypassed (Tranche 1, §0).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6. Cost levers, ranked by impact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Because ~98% of cost is the gpt-4o tier, every lever is about removing or downgrading gpt-4o calls. Ordered by rupee impact.</w:t>
      </w:r>
    </w:p>
    <w:tbl>
      <w:tblPr>
        <w:tblW w:type="dxa" w:w="1008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C7D0DA" w:sz="2"/>
          <w:insideV w:val="single" w:color="C7D0D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Lever</w:t>
            </w:r>
          </w:p>
        </w:tc>
        <w:tc>
          <w:tcPr>
            <w:tcW w:type="dxa" w:w="33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33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 saving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Collapse / make surgical the repair loops</w:t>
            </w:r>
          </w:p>
        </w:tc>
        <w:tc>
          <w:tcPr>
            <w:tcW w:type="dxa" w:w="33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Each avoided full-reply regeneration removes one gpt-4o pass (~2–4k in + 1–2k out). Biggest on assess/deliver turns, which run 2–3 repairs.</w:t>
            </w:r>
          </w:p>
        </w:tc>
        <w:tc>
          <w:tcPr>
            <w:tcW w:type="dxa" w:w="33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$0.02–0.09 / assess turn</w:t>
            </w:r>
          </w:p>
        </w:tc>
      </w:tr>
      <w:tr>
        <w:tc>
          <w:tcPr>
            <w:tcW w:type="dxa" w:w="33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build_checklist → gpt-4o-mini + cache</w:t>
            </w:r>
          </w:p>
        </w:tc>
        <w:tc>
          <w:tcPr>
            <w:tcW w:type="dxa" w:w="33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Removes ~1 gpt-4o call every turn (it's state-tracking, not judgment); caching removes it entirely on unchanged turns.</w:t>
            </w:r>
          </w:p>
        </w:tc>
        <w:tc>
          <w:tcPr>
            <w:tcW w:type="dxa" w:w="33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~$0.004 / turn, every turn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build_case_theory gated to counsel stage</w:t>
            </w:r>
          </w:p>
        </w:tc>
        <w:tc>
          <w:tcPr>
            <w:tcW w:type="dxa" w:w="33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Stops paying gpt-4o to theorise on thin, changing facts during intake.</w:t>
            </w:r>
          </w:p>
        </w:tc>
        <w:tc>
          <w:tcPr>
            <w:tcW w:type="dxa" w:w="33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~$0.004 / intake turn</w:t>
            </w:r>
          </w:p>
        </w:tc>
      </w:tr>
      <w:tr>
        <w:tc>
          <w:tcPr>
            <w:tcW w:type="dxa" w:w="33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Fix _price_for (§1)</w:t>
            </w:r>
          </w:p>
        </w:tc>
        <w:tc>
          <w:tcPr>
            <w:tcW w:type="dxa" w:w="33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spend change — corrects the per-user BUDGET METER (mini currently billed 16.7× high).</w:t>
            </w:r>
          </w:p>
        </w:tc>
        <w:tc>
          <w:tcPr>
            <w:tcW w:type="dxa" w:w="3360"/>
            <w:shd w:fill="F2F5F9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meter accuracy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Merge / cap the mini classifiers</w:t>
            </w:r>
          </w:p>
        </w:tc>
        <w:tc>
          <w:tcPr>
            <w:tcW w:type="dxa" w:w="33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classify_phase transcript cap; merge plan+intent and move-classifier+gate.</w:t>
            </w:r>
          </w:p>
        </w:tc>
        <w:tc>
          <w:tcPr>
            <w:tcW w:type="dxa" w:w="3360"/>
            <w:shd w:fill="FFFFFF" w:color="auto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2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latency &gt; $ (mini is cheap)</w:t>
            </w:r>
          </w:p>
        </w:tc>
      </w:tr>
    </w:tbl>
    <w:p>
      <w:pPr>
        <w:spacing w:after="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Combined effect of the top three: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dropping ~2–3 gpt-4o calls per intake turn and preventing repair regenerations on assess turns could cut consultation cost roughly 35–50% — from ~$0.45–0.65 toward ~$0.25–0.35 per consult (~$250–350 per 1,000), while also cutting turn latency. All without touching resolve_charges, which is the one gpt-4o call whose precision genuinely earns the premium.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7. Caveats — what's measured vs. projected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Measured, clean: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smalltalk turn and the substantive opening consult turn (before/after snapshot deltas on the live server); the pricing bug; the session aggregate; the gpt-4o call count per turn.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Projected: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assess/deliver per-turn cost (derived from the aggregate ratio, not cleanly isolated); the full-consultation and per-1,000 figures; the two model-override rows; the lever savings (computed from average per-call token sizes, not per-call instrumentation).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Turn-type dependence: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measured substantive turn was an OPENING turn (full triage: spot + consolidate + charges + theory + checklist). A mid-conversation follow-up that reuses cached issues may fire fewer gpt-4o calls; a deliver turn fires more. Real per-turn cost varies with the turn's role.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Token counts are authoritative;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they come from the provider's own usage on each call. Only the cost arithmetic needed correcting.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 make every figure measured: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add per-node token attribution (the usage recorder already fires per call; tagging each call with its node name would give an exact per-call breakdown). That is the one instrumentation step that would turn every “projected” cell here into a measured one — noted as the natural follow-up.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Nyaymalaw — Measured Per-Turn Cost Model</dc:title>
  <dc:creator>Nyaymalaw cost model</dc:creator>
  <cp:lastModifiedBy>Un-named</cp:lastModifiedBy>
  <cp:revision>1</cp:revision>
  <dcterms:created xsi:type="dcterms:W3CDTF">2026-07-22T04:07:30.235Z</dcterms:created>
  <dcterms:modified xsi:type="dcterms:W3CDTF">2026-07-22T04:07:30.236Z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