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i w:val="false"/>
          <w:iCs w:val="false"/>
          <w:color w:val="1F3A5F"/>
          <w:sz w:val="40"/>
          <w:szCs w:val="40"/>
        </w:rPr>
        <w:t xml:space="preserve">Nyaymalaw — Prompt Audit</w:t>
      </w:r>
    </w:p>
    <w:p>
      <w:pPr>
        <w:spacing w:after="40"/>
      </w:pPr>
      <w:r>
        <w:rPr>
          <w:rFonts w:ascii="Calibri" w:cs="Calibri" w:eastAsia="Calibri" w:hAnsi="Calibri"/>
          <w:b w:val="false"/>
          <w:bCs w:val="false"/>
          <w:i w:val="false"/>
          <w:iCs w:val="false"/>
          <w:color w:val="555555"/>
          <w:sz w:val="22"/>
          <w:szCs w:val="22"/>
        </w:rPr>
        <w:t xml:space="preserve">Tranche 2: the drafter sub-graph, second-opinion, memory, and the offline eval &amp; feedback prompts</w:t>
      </w:r>
    </w:p>
    <w:p>
      <w:pPr>
        <w:spacing w:after="200"/>
      </w:pPr>
      <w:r>
        <w:rPr>
          <w:rFonts w:ascii="Calibri" w:cs="Calibri" w:eastAsia="Calibri" w:hAnsi="Calibri"/>
          <w:b w:val="false"/>
          <w:bCs w:val="false"/>
          <w:i/>
          <w:iCs/>
          <w:color w:val="777777"/>
          <w:sz w:val="17"/>
          <w:szCs w:val="17"/>
        </w:rPr>
        <w:t xml:space="preserve">Companion to Tranche 1 (the consult hot path). Same two-lens method: output quality + cost, every cell justified.</w:t>
      </w:r>
    </w:p>
    <w:p>
      <w:pPr>
        <w:pStyle w:val="Heading1"/>
        <w:spacing w:after="80" w:before="100"/>
      </w:pPr>
      <w:r>
        <w:rPr>
          <w:rFonts w:ascii="Calibri" w:cs="Calibri" w:eastAsia="Calibri" w:hAnsi="Calibri"/>
          <w:b/>
          <w:bCs/>
          <w:i w:val="false"/>
          <w:iCs w:val="false"/>
          <w:color w:val="1F3A5F"/>
          <w:sz w:val="28"/>
          <w:szCs w:val="28"/>
        </w:rPr>
        <w:t xml:space="preserve">Orientation</w:t>
      </w:r>
    </w:p>
    <w:p>
      <w:pPr>
        <w:spacing w:after="70" w:before="0" w:line="264"/>
      </w:pPr>
      <w:r>
        <w:rPr>
          <w:rFonts w:ascii="Calibri" w:cs="Calibri" w:eastAsia="Calibri" w:hAnsi="Calibri"/>
          <w:b/>
          <w:bCs/>
          <w:i w:val="false"/>
          <w:iCs w:val="false"/>
          <w:sz w:val="18"/>
          <w:szCs w:val="18"/>
        </w:rPr>
        <w:t xml:space="preserve">What's here. </w:t>
      </w:r>
      <w:r>
        <w:rPr>
          <w:rFonts w:ascii="Calibri" w:cs="Calibri" w:eastAsia="Calibri" w:hAnsi="Calibri"/>
          <w:b w:val="false"/>
          <w:bCs w:val="false"/>
          <w:i w:val="false"/>
          <w:iCs w:val="false"/>
          <w:sz w:val="18"/>
          <w:szCs w:val="18"/>
        </w:rPr>
        <w:t xml:space="preserve">The prompts that do NOT run on a normal consult turn: the multi-step drafter (outline → section → verify → render), the single-shot drafting-template block, the second-opinion critique, the cross-session memory block, and the offline eval/feedback prompts (LLM-as-judge, golden-rules reviewer, training-data system prompt).</w:t>
      </w:r>
    </w:p>
    <w:p>
      <w:pPr>
        <w:spacing w:after="70" w:before="0" w:line="264"/>
      </w:pPr>
      <w:r>
        <w:rPr>
          <w:rFonts w:ascii="Calibri" w:cs="Calibri" w:eastAsia="Calibri" w:hAnsi="Calibri"/>
          <w:b/>
          <w:bCs/>
          <w:i w:val="false"/>
          <w:iCs w:val="false"/>
          <w:sz w:val="18"/>
          <w:szCs w:val="18"/>
        </w:rPr>
        <w:t xml:space="preserve">Headline. </w:t>
      </w:r>
      <w:r>
        <w:rPr>
          <w:rFonts w:ascii="Calibri" w:cs="Calibri" w:eastAsia="Calibri" w:hAnsi="Calibri"/>
          <w:b w:val="false"/>
          <w:bCs w:val="false"/>
          <w:i w:val="false"/>
          <w:iCs w:val="false"/>
          <w:sz w:val="18"/>
          <w:szCs w:val="18"/>
        </w:rPr>
        <w:t xml:space="preserve">Two grounding patterns in this tranche are the best in the codebase — the drafter's tag-and-verify contract (SECTION_*) and (from Tranche 1) the LegalInsight index. The rest of the product's citation handling should adopt that same shape. Against that, this tranche also carries the most dead prompt debt and one concrete contract gap.</w:t>
      </w:r>
    </w:p>
    <w:p>
      <w:pPr>
        <w:spacing w:after="70" w:before="0" w:line="264"/>
      </w:pPr>
      <w:r>
        <w:rPr>
          <w:rFonts w:ascii="Calibri" w:cs="Calibri" w:eastAsia="Calibri" w:hAnsi="Calibri"/>
          <w:b/>
          <w:bCs/>
          <w:i w:val="false"/>
          <w:iCs w:val="false"/>
          <w:sz w:val="18"/>
          <w:szCs w:val="18"/>
        </w:rPr>
        <w:t xml:space="preserve">Verify tags. </w:t>
      </w:r>
      <w:r>
        <w:rPr>
          <w:rFonts w:ascii="Calibri" w:cs="Calibri" w:eastAsia="Calibri" w:hAnsi="Calibri"/>
          <w:b w:val="false"/>
          <w:bCs w:val="false"/>
          <w:i w:val="false"/>
          <w:iCs w:val="false"/>
          <w:sz w:val="18"/>
          <w:szCs w:val="18"/>
        </w:rPr>
        <w:t xml:space="preserve">Where a claim depends on runtime wiring I did not exhaustively execute, the cell says “Verify:”.</w:t>
      </w:r>
    </w:p>
    <w:p>
      <w:pPr>
        <w:pStyle w:val="Heading2"/>
        <w:spacing w:after="60" w:before="260"/>
      </w:pPr>
      <w:r>
        <w:rPr>
          <w:rFonts w:ascii="Calibri" w:cs="Calibri" w:eastAsia="Calibri" w:hAnsi="Calibri"/>
          <w:b/>
          <w:bCs/>
          <w:i w:val="false"/>
          <w:iCs w:val="false"/>
          <w:color w:val="1F3A5F"/>
          <w:sz w:val="24"/>
          <w:szCs w:val="24"/>
        </w:rPr>
        <w:t xml:space="preserve">1. SECTION_SYSTEM / SECTION_USER — the per-section drafter (LIVE)</w:t>
      </w:r>
    </w:p>
    <w:p>
      <w:pPr>
        <w:spacing w:after="60" w:before="0" w:line="264"/>
      </w:pPr>
      <w:r>
        <w:rPr>
          <w:rFonts w:ascii="Calibri" w:cs="Calibri" w:eastAsia="Calibri" w:hAnsi="Calibri"/>
          <w:b/>
          <w:bCs/>
          <w:i w:val="false"/>
          <w:iCs w:val="false"/>
          <w:color w:val="555555"/>
          <w:sz w:val="17"/>
          <w:szCs w:val="17"/>
        </w:rPr>
        <w:t xml:space="preserve">Where: </w:t>
      </w:r>
      <w:r>
        <w:rPr>
          <w:rFonts w:ascii="Calibri" w:cs="Calibri" w:eastAsia="Calibri" w:hAnsi="Calibri"/>
          <w:b w:val="false"/>
          <w:bCs w:val="false"/>
          <w:i/>
          <w:iCs/>
          <w:color w:val="555555"/>
          <w:sz w:val="17"/>
          <w:szCs w:val="17"/>
        </w:rPr>
        <w:t xml:space="preserve">prompts/drafter.py (SECTION_SYSTEM ~54, SECTION_USER ~71); agents/drafter/section_drafter.py — weight=“heavy” (gpt-4o-mini), temperature 0.1, one call per section</w:t>
      </w:r>
    </w:p>
    <w:p>
      <w:pPr>
        <w:spacing w:after="100" w:before="0" w:line="264"/>
      </w:pPr>
      <w:r>
        <w:rPr>
          <w:rFonts w:ascii="Calibri" w:cs="Calibri" w:eastAsia="Calibri" w:hAnsi="Calibri"/>
          <w:b w:val="false"/>
          <w:bCs w:val="false"/>
          <w:i w:val="false"/>
          <w:iCs w:val="false"/>
          <w:sz w:val="18"/>
          <w:szCs w:val="18"/>
        </w:rPr>
        <w:t xml:space="preserve">Drafts one section of a filing at a time. The strongest grounding contract in the drafting path.</w:t>
      </w:r>
    </w:p>
    <w:tbl>
      <w:tblPr>
        <w:tblW w:type="dxa" w:w="13680"/>
        <w:tblBorders>
          <w:top w:val="single" w:color="9AA7B4" w:sz="4"/>
          <w:left w:val="single" w:color="9AA7B4" w:sz="4"/>
          <w:bottom w:val="single" w:color="9AA7B4" w:sz="4"/>
          <w:right w:val="single" w:color="9AA7B4" w:sz="4"/>
          <w:insideH w:val="single" w:color="C7D0DA" w:sz="2"/>
          <w:insideV w:val="single" w:color="C7D0DA" w:sz="2"/>
        </w:tblBorders>
      </w:tblPr>
      <w:tblGrid>
        <w:gridCol w:w="2500"/>
        <w:gridCol w:w="3560"/>
        <w:gridCol w:w="3560"/>
        <w:gridCol w:w="4060"/>
      </w:tblGrid>
      <w:tr>
        <w:trPr>
          <w:tblHeader/>
        </w:trPr>
        <w:tc>
          <w:tcPr>
            <w:tcW w:type="dxa" w:w="2500"/>
            <w:shd w:fill="1F3A5F" w:color="auto" w:val="clear"/>
            <w:tcMar>
              <w:top w:type="dxa" w:w="60"/>
              <w:left w:type="dxa" w:w="90"/>
              <w:bottom w:type="dxa" w:w="60"/>
              <w:right w:type="dxa" w:w="90"/>
            </w:tcMar>
          </w:tcPr>
          <w:p>
            <w:pPr>
              <w:spacing w:after="0"/>
            </w:pPr>
            <w:r>
              <w:rPr>
                <w:rFonts w:ascii="Calibri" w:cs="Calibri" w:eastAsia="Calibri" w:hAnsi="Calibri"/>
                <w:b/>
                <w:bCs/>
                <w:i w:val="false"/>
                <w:iCs w:val="false"/>
                <w:color w:val="FFFFFF"/>
                <w:sz w:val="18"/>
                <w:szCs w:val="18"/>
              </w:rPr>
              <w:t xml:space="preserve">Issue (facet of this prompt)</w:t>
            </w:r>
          </w:p>
        </w:tc>
        <w:tc>
          <w:tcPr>
            <w:tcW w:type="dxa" w:w="3560"/>
            <w:shd w:fill="1F3A5F" w:color="auto" w:val="clear"/>
            <w:tcMar>
              <w:top w:type="dxa" w:w="60"/>
              <w:left w:type="dxa" w:w="90"/>
              <w:bottom w:type="dxa" w:w="60"/>
              <w:right w:type="dxa" w:w="90"/>
            </w:tcMar>
          </w:tcPr>
          <w:p>
            <w:pPr>
              <w:spacing w:after="0"/>
            </w:pPr>
            <w:r>
              <w:rPr>
                <w:rFonts w:ascii="Calibri" w:cs="Calibri" w:eastAsia="Calibri" w:hAnsi="Calibri"/>
                <w:b/>
                <w:bCs/>
                <w:i w:val="false"/>
                <w:iCs w:val="false"/>
                <w:color w:val="FFFFFF"/>
                <w:sz w:val="18"/>
                <w:szCs w:val="18"/>
              </w:rPr>
              <w:t xml:space="preserve">What's good — and why</w:t>
            </w:r>
          </w:p>
        </w:tc>
        <w:tc>
          <w:tcPr>
            <w:tcW w:type="dxa" w:w="3560"/>
            <w:shd w:fill="1F3A5F" w:color="auto" w:val="clear"/>
            <w:tcMar>
              <w:top w:type="dxa" w:w="60"/>
              <w:left w:type="dxa" w:w="90"/>
              <w:bottom w:type="dxa" w:w="60"/>
              <w:right w:type="dxa" w:w="90"/>
            </w:tcMar>
          </w:tcPr>
          <w:p>
            <w:pPr>
              <w:spacing w:after="0"/>
            </w:pPr>
            <w:r>
              <w:rPr>
                <w:rFonts w:ascii="Calibri" w:cs="Calibri" w:eastAsia="Calibri" w:hAnsi="Calibri"/>
                <w:b/>
                <w:bCs/>
                <w:i w:val="false"/>
                <w:iCs w:val="false"/>
                <w:color w:val="FFFFFF"/>
                <w:sz w:val="18"/>
                <w:szCs w:val="18"/>
              </w:rPr>
              <w:t xml:space="preserve">What's bad — and why it's a problem</w:t>
            </w:r>
          </w:p>
        </w:tc>
        <w:tc>
          <w:tcPr>
            <w:tcW w:type="dxa" w:w="4060"/>
            <w:shd w:fill="1F3A5F" w:color="auto" w:val="clear"/>
            <w:tcMar>
              <w:top w:type="dxa" w:w="60"/>
              <w:left w:type="dxa" w:w="90"/>
              <w:bottom w:type="dxa" w:w="60"/>
              <w:right w:type="dxa" w:w="90"/>
            </w:tcMar>
          </w:tcPr>
          <w:p>
            <w:pPr>
              <w:spacing w:after="0"/>
            </w:pPr>
            <w:r>
              <w:rPr>
                <w:rFonts w:ascii="Calibri" w:cs="Calibri" w:eastAsia="Calibri" w:hAnsi="Calibri"/>
                <w:b/>
                <w:bCs/>
                <w:i w:val="false"/>
                <w:iCs w:val="false"/>
                <w:color w:val="FFFFFF"/>
                <w:sz w:val="18"/>
                <w:szCs w:val="18"/>
              </w:rPr>
              <w:t xml:space="preserve">How to improve — and on what basis</w:t>
            </w:r>
          </w:p>
        </w:tc>
      </w:tr>
      <w:tr>
        <w:tc>
          <w:tcPr>
            <w:tcW w:type="dxa" w:w="2500"/>
            <w:shd w:fill="FFFFFF"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Tag-and-verify citation contract</w:t>
            </w:r>
          </w:p>
        </w:tc>
        <w:tc>
          <w:tcPr>
            <w:tcW w:type="dxa" w:w="3560"/>
            <w:shd w:fill="FFFFFF"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Every averment must end with [[fact:&lt;id&gt;]], every statute with [[stat:&lt;chunk_id&gt;]], every case with [[case:&lt;chunk_id&gt;]], and anything not in the outline must be written as [GAP: …] rather than invented. The verifier then resolves those tags deterministically. This makes citations machine-checkable and fabrication a structural [GAP], not a silent error — the drafting analogue of the LegalInsight index pattern, and the right answer to the “0 hallucinated authorities” bar.</w:t>
            </w:r>
          </w:p>
        </w:tc>
        <w:tc>
          <w:tcPr>
            <w:tcW w:type="dxa" w:w="3560"/>
            <w:shd w:fill="FFFFFF"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w:t>
            </w:r>
          </w:p>
        </w:tc>
        <w:tc>
          <w:tcPr>
            <w:tcW w:type="dxa" w:w="4060"/>
            <w:shd w:fill="FFFFFF"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This is the template. Any place the product still lets the model type a citation as free prose (consult, memo) should move to this select-an-id-then-verify shape.</w:t>
            </w:r>
          </w:p>
        </w:tc>
      </w:tr>
      <w:tr>
        <w:tc>
          <w:tcPr>
            <w:tcW w:type="dxa" w:w="2500"/>
            <w:shd w:fill="F2F5F9"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Cheap tier + low temperature + one-section-at-a-time</w:t>
            </w:r>
          </w:p>
        </w:tc>
        <w:tc>
          <w:tcPr>
            <w:tcW w:type="dxa" w:w="3560"/>
            <w:shd w:fill="F2F5F9"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Prose generation runs on gpt-4o-mini (weight=heavy) at temp 0.1 — the right cost/fidelity point for filling a grounded template; and drafting one section per call keeps each call within budget, isolates failures, and enables per-section retry.</w:t>
            </w:r>
          </w:p>
        </w:tc>
        <w:tc>
          <w:tcPr>
            <w:tcW w:type="dxa" w:w="3560"/>
            <w:shd w:fill="F2F5F9"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w:t>
            </w:r>
          </w:p>
        </w:tc>
        <w:tc>
          <w:tcPr>
            <w:tcW w:type="dxa" w:w="4060"/>
            <w:shd w:fill="F2F5F9"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Keep the tiering and the per-section decomposition.</w:t>
            </w:r>
          </w:p>
        </w:tc>
      </w:tr>
      <w:tr>
        <w:tc>
          <w:tcPr>
            <w:tcW w:type="dxa" w:w="2500"/>
            <w:shd w:fill="FFFFFF"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The whole outline JSON is re-sent for every section</w:t>
            </w:r>
          </w:p>
        </w:tc>
        <w:tc>
          <w:tcPr>
            <w:tcW w:type="dxa" w:w="3560"/>
            <w:shd w:fill="FFFFFF"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Passing the outline gives each section the statute_map / precedent_map ids it is allowed to cite.</w:t>
            </w:r>
          </w:p>
        </w:tc>
        <w:tc>
          <w:tcPr>
            <w:tcW w:type="dxa" w:w="3560"/>
            <w:shd w:fill="FFFFFF"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SECTION_USER serialises the ENTIRE outline_json (statute_map + precedent_map + charges + key_dates + all sections) into every section call. A 9-section plaint pays for the full outline 9 times — input tokens scale with sections × outline size, most of it irrelevant to the section being drafted.</w:t>
            </w:r>
          </w:p>
          <w:p>
            <w:pPr>
              <w:spacing w:after="40" w:line="250"/>
            </w:pPr>
            <w:r>
              <w:rPr>
                <w:rFonts w:ascii="Calibri" w:cs="Calibri" w:eastAsia="Calibri" w:hAnsi="Calibri"/>
                <w:b w:val="false"/>
                <w:bCs w:val="false"/>
                <w:i w:val="false"/>
                <w:iCs w:val="false"/>
                <w:sz w:val="17"/>
                <w:szCs w:val="17"/>
              </w:rPr>
              <w:t xml:space="preserve">Why it's a problem: redundant per-section input; cost grows quadratically-ish with document length.</w:t>
            </w:r>
          </w:p>
        </w:tc>
        <w:tc>
          <w:tcPr>
            <w:tcW w:type="dxa" w:w="4060"/>
            <w:shd w:fill="FFFFFF"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Pass only the slice the section can cite (its statute/precedent subset + its fact ids), not the whole outline. Basis: give each call exactly the ids it may reference — smaller prompt, same grounding.</w:t>
            </w:r>
          </w:p>
        </w:tc>
      </w:tr>
      <w:tr>
        <w:tc>
          <w:tcPr>
            <w:tcW w:type="dxa" w:w="2500"/>
            <w:shd w:fill="F2F5F9"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Contract gap: [[case:&lt;chunk_id&gt;]] but precedent_map has no chunk_id</w:t>
            </w:r>
          </w:p>
        </w:tc>
        <w:tc>
          <w:tcPr>
            <w:tcW w:type="dxa" w:w="3560"/>
            <w:shd w:fill="F2F5F9"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The intent — cite cases only by an id the outline vouched for — is correct.</w:t>
            </w:r>
          </w:p>
        </w:tc>
        <w:tc>
          <w:tcPr>
            <w:tcW w:type="dxa" w:w="3560"/>
            <w:shd w:fill="F2F5F9"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SECTION_SYSTEM says the case chunk_id “comes from the outline's precedent_map,” but the outliner builds precedent_map from research_results with only {citation, proposition, paragraph} — no chunk_id (outliner ~84–90). The model is told to emit an id the outline never provides, so it must omit case tags or fabricate an id; _resolve_citations then falls back to keying on the citation string.</w:t>
            </w:r>
          </w:p>
          <w:p>
            <w:pPr>
              <w:spacing w:after="40" w:line="250"/>
            </w:pPr>
            <w:r>
              <w:rPr>
                <w:rFonts w:ascii="Calibri" w:cs="Calibri" w:eastAsia="Calibri" w:hAnsi="Calibri"/>
                <w:b w:val="false"/>
                <w:bCs w:val="false"/>
                <w:i w:val="false"/>
                <w:iCs w:val="false"/>
                <w:sz w:val="17"/>
                <w:szCs w:val="17"/>
              </w:rPr>
              <w:t xml:space="preserve">Verify: precedent_map chunk_id population — this reads as a live contract mismatch, not a style nit.</w:t>
            </w:r>
          </w:p>
        </w:tc>
        <w:tc>
          <w:tcPr>
            <w:tcW w:type="dxa" w:w="4060"/>
            <w:shd w:fill="F2F5F9"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Populate precedent_map[].chunk_id in the outliner (carry the retrieved case chunk_id through), and keep the [[case:&lt;chunk_id&gt;]] instruction. Basis: the instruction and the data structure must agree, or the grounding contract is unenforceable for cases.</w:t>
            </w:r>
          </w:p>
        </w:tc>
      </w:tr>
      <w:tr>
        <w:tc>
          <w:tcPr>
            <w:tcW w:type="dxa" w:w="2500"/>
            <w:shd w:fill="FFFFFF"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No cross-section awareness</w:t>
            </w:r>
          </w:p>
        </w:tc>
        <w:tc>
          <w:tcPr>
            <w:tcW w:type="dxa" w:w="3560"/>
            <w:shd w:fill="FFFFFF"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Independent sections keep each call small and parallelisable.</w:t>
            </w:r>
          </w:p>
        </w:tc>
        <w:tc>
          <w:tcPr>
            <w:tcW w:type="dxa" w:w="3560"/>
            <w:shd w:fill="FFFFFF"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Each section is drafted with no view of its siblings, so facts stated in “Facts” can be restated in “Grounds,” and tone/numbering can drift between sections. The verifier checks citations, not prose redundancy.</w:t>
            </w:r>
          </w:p>
          <w:p>
            <w:pPr>
              <w:spacing w:after="40" w:line="250"/>
            </w:pPr>
            <w:r>
              <w:rPr>
                <w:rFonts w:ascii="Calibri" w:cs="Calibri" w:eastAsia="Calibri" w:hAnsi="Calibri"/>
                <w:b w:val="false"/>
                <w:bCs w:val="false"/>
                <w:i w:val="false"/>
                <w:iCs w:val="false"/>
                <w:sz w:val="17"/>
                <w:szCs w:val="17"/>
              </w:rPr>
              <w:t xml:space="preserve">Why it's a problem: repetition and inconsistency across a single document.</w:t>
            </w:r>
          </w:p>
        </w:tc>
        <w:tc>
          <w:tcPr>
            <w:tcW w:type="dxa" w:w="4060"/>
            <w:shd w:fill="FFFFFF"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Feed a short running summary of already-drafted sections (or at least the Facts section) into later section calls. Basis: local coherence needs a little shared context, cheaply supplied.</w:t>
            </w:r>
          </w:p>
        </w:tc>
      </w:tr>
      <w:tr>
        <w:tc>
          <w:tcPr>
            <w:tcW w:type="dxa" w:w="2500"/>
            <w:shd w:fill="F2F5F9"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Exemplar style reference</w:t>
            </w:r>
          </w:p>
        </w:tc>
        <w:tc>
          <w:tcPr>
            <w:tcW w:type="dxa" w:w="3560"/>
            <w:shd w:fill="F2F5F9"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An exemplar excerpt (1800 chars) is injected as “illustrative only — do NOT copy verbatim,” which anchors filing conventions without hardcoding a template — a good use of few-shot style guidance.</w:t>
            </w:r>
          </w:p>
        </w:tc>
        <w:tc>
          <w:tcPr>
            <w:tcW w:type="dxa" w:w="3560"/>
            <w:shd w:fill="F2F5F9"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Exemplars are loaded from a config dir and silently skipped if absent; a matter type with no exemplar gets weaker style guidance with no signal.</w:t>
            </w:r>
          </w:p>
          <w:p>
            <w:pPr>
              <w:spacing w:after="40" w:line="250"/>
            </w:pPr>
            <w:r>
              <w:rPr>
                <w:rFonts w:ascii="Calibri" w:cs="Calibri" w:eastAsia="Calibri" w:hAnsi="Calibri"/>
                <w:b w:val="false"/>
                <w:bCs w:val="false"/>
                <w:i w:val="false"/>
                <w:iCs w:val="false"/>
                <w:sz w:val="17"/>
                <w:szCs w:val="17"/>
              </w:rPr>
              <w:t xml:space="preserve">Minor: uneven style quality across deliverable types.</w:t>
            </w:r>
          </w:p>
        </w:tc>
        <w:tc>
          <w:tcPr>
            <w:tcW w:type="dxa" w:w="4060"/>
            <w:shd w:fill="F2F5F9"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Ensure an exemplar exists for each supported deliverable; log when one is missing. Basis: consistent style coverage across the 10 filing types.</w:t>
            </w:r>
          </w:p>
        </w:tc>
      </w:tr>
    </w:tbl>
    <w:p>
      <w:pPr>
        <w:pStyle w:val="Heading2"/>
        <w:spacing w:after="60" w:before="260"/>
      </w:pPr>
      <w:r>
        <w:rPr>
          <w:rFonts w:ascii="Calibri" w:cs="Calibri" w:eastAsia="Calibri" w:hAnsi="Calibri"/>
          <w:b/>
          <w:bCs/>
          <w:i w:val="false"/>
          <w:iCs w:val="false"/>
          <w:color w:val="1F3A5F"/>
          <w:sz w:val="24"/>
          <w:szCs w:val="24"/>
        </w:rPr>
        <w:t xml:space="preserve">2. Outliner extraction prompts — _extract_cause_title &amp; _scope_charges_for_draft (LIVE)</w:t>
      </w:r>
    </w:p>
    <w:p>
      <w:pPr>
        <w:spacing w:after="60" w:before="0" w:line="264"/>
      </w:pPr>
      <w:r>
        <w:rPr>
          <w:rFonts w:ascii="Calibri" w:cs="Calibri" w:eastAsia="Calibri" w:hAnsi="Calibri"/>
          <w:b/>
          <w:bCs/>
          <w:i w:val="false"/>
          <w:iCs w:val="false"/>
          <w:color w:val="555555"/>
          <w:sz w:val="17"/>
          <w:szCs w:val="17"/>
        </w:rPr>
        <w:t xml:space="preserve">Where: </w:t>
      </w:r>
      <w:r>
        <w:rPr>
          <w:rFonts w:ascii="Calibri" w:cs="Calibri" w:eastAsia="Calibri" w:hAnsi="Calibri"/>
          <w:b w:val="false"/>
          <w:bCs w:val="false"/>
          <w:i/>
          <w:iCs/>
          <w:color w:val="555555"/>
          <w:sz w:val="17"/>
          <w:szCs w:val="17"/>
        </w:rPr>
        <w:t xml:space="preserve">agents/drafter/outliner.py (~206 and ~286) — both get_llm(weight=“deliver”, force_strong=True) → gpt-4o, JSON-by-regex</w:t>
      </w:r>
    </w:p>
    <w:p>
      <w:pPr>
        <w:spacing w:after="100" w:before="0" w:line="264"/>
      </w:pPr>
      <w:r>
        <w:rPr>
          <w:rFonts w:ascii="Calibri" w:cs="Calibri" w:eastAsia="Calibri" w:hAnsi="Calibri"/>
          <w:b w:val="false"/>
          <w:bCs w:val="false"/>
          <w:i w:val="false"/>
          <w:iCs w:val="false"/>
          <w:sz w:val="18"/>
          <w:szCs w:val="18"/>
        </w:rPr>
        <w:t xml:space="preserve">Two strong-model calls at draft time: pull the cause-title parties from the client's own words, and scope a multi-party matter to the one party the draft request names.</w:t>
      </w:r>
    </w:p>
    <w:tbl>
      <w:tblPr>
        <w:tblW w:type="dxa" w:w="13680"/>
        <w:tblBorders>
          <w:top w:val="single" w:color="9AA7B4" w:sz="4"/>
          <w:left w:val="single" w:color="9AA7B4" w:sz="4"/>
          <w:bottom w:val="single" w:color="9AA7B4" w:sz="4"/>
          <w:right w:val="single" w:color="9AA7B4" w:sz="4"/>
          <w:insideH w:val="single" w:color="C7D0DA" w:sz="2"/>
          <w:insideV w:val="single" w:color="C7D0DA" w:sz="2"/>
        </w:tblBorders>
      </w:tblPr>
      <w:tblGrid>
        <w:gridCol w:w="2500"/>
        <w:gridCol w:w="3560"/>
        <w:gridCol w:w="3560"/>
        <w:gridCol w:w="4060"/>
      </w:tblGrid>
      <w:tr>
        <w:trPr>
          <w:tblHeader/>
        </w:trPr>
        <w:tc>
          <w:tcPr>
            <w:tcW w:type="dxa" w:w="2500"/>
            <w:shd w:fill="1F3A5F" w:color="auto" w:val="clear"/>
            <w:tcMar>
              <w:top w:type="dxa" w:w="60"/>
              <w:left w:type="dxa" w:w="90"/>
              <w:bottom w:type="dxa" w:w="60"/>
              <w:right w:type="dxa" w:w="90"/>
            </w:tcMar>
          </w:tcPr>
          <w:p>
            <w:pPr>
              <w:spacing w:after="0"/>
            </w:pPr>
            <w:r>
              <w:rPr>
                <w:rFonts w:ascii="Calibri" w:cs="Calibri" w:eastAsia="Calibri" w:hAnsi="Calibri"/>
                <w:b/>
                <w:bCs/>
                <w:i w:val="false"/>
                <w:iCs w:val="false"/>
                <w:color w:val="FFFFFF"/>
                <w:sz w:val="18"/>
                <w:szCs w:val="18"/>
              </w:rPr>
              <w:t xml:space="preserve">Issue (facet of this prompt)</w:t>
            </w:r>
          </w:p>
        </w:tc>
        <w:tc>
          <w:tcPr>
            <w:tcW w:type="dxa" w:w="3560"/>
            <w:shd w:fill="1F3A5F" w:color="auto" w:val="clear"/>
            <w:tcMar>
              <w:top w:type="dxa" w:w="60"/>
              <w:left w:type="dxa" w:w="90"/>
              <w:bottom w:type="dxa" w:w="60"/>
              <w:right w:type="dxa" w:w="90"/>
            </w:tcMar>
          </w:tcPr>
          <w:p>
            <w:pPr>
              <w:spacing w:after="0"/>
            </w:pPr>
            <w:r>
              <w:rPr>
                <w:rFonts w:ascii="Calibri" w:cs="Calibri" w:eastAsia="Calibri" w:hAnsi="Calibri"/>
                <w:b/>
                <w:bCs/>
                <w:i w:val="false"/>
                <w:iCs w:val="false"/>
                <w:color w:val="FFFFFF"/>
                <w:sz w:val="18"/>
                <w:szCs w:val="18"/>
              </w:rPr>
              <w:t xml:space="preserve">What's good — and why</w:t>
            </w:r>
          </w:p>
        </w:tc>
        <w:tc>
          <w:tcPr>
            <w:tcW w:type="dxa" w:w="3560"/>
            <w:shd w:fill="1F3A5F" w:color="auto" w:val="clear"/>
            <w:tcMar>
              <w:top w:type="dxa" w:w="60"/>
              <w:left w:type="dxa" w:w="90"/>
              <w:bottom w:type="dxa" w:w="60"/>
              <w:right w:type="dxa" w:w="90"/>
            </w:tcMar>
          </w:tcPr>
          <w:p>
            <w:pPr>
              <w:spacing w:after="0"/>
            </w:pPr>
            <w:r>
              <w:rPr>
                <w:rFonts w:ascii="Calibri" w:cs="Calibri" w:eastAsia="Calibri" w:hAnsi="Calibri"/>
                <w:b/>
                <w:bCs/>
                <w:i w:val="false"/>
                <w:iCs w:val="false"/>
                <w:color w:val="FFFFFF"/>
                <w:sz w:val="18"/>
                <w:szCs w:val="18"/>
              </w:rPr>
              <w:t xml:space="preserve">What's bad — and why it's a problem</w:t>
            </w:r>
          </w:p>
        </w:tc>
        <w:tc>
          <w:tcPr>
            <w:tcW w:type="dxa" w:w="4060"/>
            <w:shd w:fill="1F3A5F" w:color="auto" w:val="clear"/>
            <w:tcMar>
              <w:top w:type="dxa" w:w="60"/>
              <w:left w:type="dxa" w:w="90"/>
              <w:bottom w:type="dxa" w:w="60"/>
              <w:right w:type="dxa" w:w="90"/>
            </w:tcMar>
          </w:tcPr>
          <w:p>
            <w:pPr>
              <w:spacing w:after="0"/>
            </w:pPr>
            <w:r>
              <w:rPr>
                <w:rFonts w:ascii="Calibri" w:cs="Calibri" w:eastAsia="Calibri" w:hAnsi="Calibri"/>
                <w:b/>
                <w:bCs/>
                <w:i w:val="false"/>
                <w:iCs w:val="false"/>
                <w:color w:val="FFFFFF"/>
                <w:sz w:val="18"/>
                <w:szCs w:val="18"/>
              </w:rPr>
              <w:t xml:space="preserve">How to improve — and on what basis</w:t>
            </w:r>
          </w:p>
        </w:tc>
      </w:tr>
      <w:tr>
        <w:tc>
          <w:tcPr>
            <w:tcW w:type="dxa" w:w="2500"/>
            <w:shd w:fill="FFFFFF"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STRICT extraction discipline on court-document data</w:t>
            </w:r>
          </w:p>
        </w:tc>
        <w:tc>
          <w:tcPr>
            <w:tcW w:type="dxa" w:w="3560"/>
            <w:shd w:fill="FFFFFF"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“Use names/addresses/places EXACTLY as stated; if the narrative doesn't state a field, output empty; NEVER invent an address — an invented address on a pleading is professional negligence.” This is precisely the right posture for caption data, and running it on gpt-4o (force_strong) matches the stakes.</w:t>
            </w:r>
          </w:p>
        </w:tc>
        <w:tc>
          <w:tcPr>
            <w:tcW w:type="dxa" w:w="3560"/>
            <w:shd w:fill="FFFFFF"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w:t>
            </w:r>
          </w:p>
        </w:tc>
        <w:tc>
          <w:tcPr>
            <w:tcW w:type="dxa" w:w="4060"/>
            <w:shd w:fill="FFFFFF"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Keep the discipline and the tier.</w:t>
            </w:r>
          </w:p>
        </w:tc>
      </w:tr>
      <w:tr>
        <w:tc>
          <w:tcPr>
            <w:tcW w:type="dxa" w:w="2500"/>
            <w:shd w:fill="F2F5F9"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Deterministic role-label enforcement + never-wrongly-narrow scoping</w:t>
            </w:r>
          </w:p>
        </w:tc>
        <w:tc>
          <w:tcPr>
            <w:tcW w:type="dxa" w:w="3560"/>
            <w:shd w:fill="F2F5F9"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Role labels (PLAINTIFF/DEFENDANT/…) are validated against an enum and overridden in code when the model echoes the whole enum; and _scope_charges_for_draft returns the FULL charge list whenever the request names no party, the extraction fails, or the match is ambiguous (matching &amp;= offered labels). Both are careful structural guards that fixed a real live bug (welding every party's charges into one filing).</w:t>
            </w:r>
          </w:p>
        </w:tc>
        <w:tc>
          <w:tcPr>
            <w:tcW w:type="dxa" w:w="3560"/>
            <w:shd w:fill="F2F5F9"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w:t>
            </w:r>
          </w:p>
        </w:tc>
        <w:tc>
          <w:tcPr>
            <w:tcW w:type="dxa" w:w="4060"/>
            <w:shd w:fill="F2F5F9"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Keep both guards.</w:t>
            </w:r>
          </w:p>
        </w:tc>
      </w:tr>
      <w:tr>
        <w:tc>
          <w:tcPr>
            <w:tcW w:type="dxa" w:w="2500"/>
            <w:shd w:fill="FFFFFF"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JSON-by-regex instead of structured output</w:t>
            </w:r>
          </w:p>
        </w:tc>
        <w:tc>
          <w:tcPr>
            <w:tcW w:type="dxa" w:w="3560"/>
            <w:shd w:fill="FFFFFF"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The inline JSON schema is explicit and the regex extraction tolerates minor noise.</w:t>
            </w:r>
          </w:p>
        </w:tc>
        <w:tc>
          <w:tcPr>
            <w:tcW w:type="dxa" w:w="3560"/>
            <w:shd w:fill="FFFFFF"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Both prompts hand-roll a JSON contract and parse it with a `\{.*\}` regex — brittle exactly where reliability matters (a court caption), while the codebase already has call_structured_llm and uses it elsewhere (MatterFrame, ClientMoveClassification).</w:t>
            </w:r>
          </w:p>
          <w:p>
            <w:pPr>
              <w:spacing w:after="40" w:line="250"/>
            </w:pPr>
            <w:r>
              <w:rPr>
                <w:rFonts w:ascii="Calibri" w:cs="Calibri" w:eastAsia="Calibri" w:hAnsi="Calibri"/>
                <w:b w:val="false"/>
                <w:bCs w:val="false"/>
                <w:i w:val="false"/>
                <w:iCs w:val="false"/>
                <w:sz w:val="17"/>
                <w:szCs w:val="17"/>
              </w:rPr>
              <w:t xml:space="preserve">Why it's a problem: avoidable parse fragility on high-stakes fields.</w:t>
            </w:r>
          </w:p>
        </w:tc>
        <w:tc>
          <w:tcPr>
            <w:tcW w:type="dxa" w:w="4060"/>
            <w:shd w:fill="FFFFFF"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Move both to call_structured_llm with a CauseTitle / DraftScope schema — the same upgrade already applied to the matter frame. Basis: schema-constrained output removes the regex failure mode without changing the model or the tier.</w:t>
            </w:r>
          </w:p>
        </w:tc>
      </w:tr>
      <w:tr>
        <w:tc>
          <w:tcPr>
            <w:tcW w:type="dxa" w:w="2500"/>
            <w:shd w:fill="F2F5F9"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Two more gpt-4o calls at draft time; fact truncation</w:t>
            </w:r>
          </w:p>
        </w:tc>
        <w:tc>
          <w:tcPr>
            <w:tcW w:type="dxa" w:w="3560"/>
            <w:shd w:fill="F2F5F9"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Drafting is infrequent and high-stakes, so extra premium calls are defensible here (unlike per-consult-turn).</w:t>
            </w:r>
          </w:p>
        </w:tc>
        <w:tc>
          <w:tcPr>
            <w:tcW w:type="dxa" w:w="3560"/>
            <w:shd w:fill="F2F5F9"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For a multi-party matter both fire (cause-title + scoping), and each truncates the narrative (2500 / 1000 chars); a long narrative could drop the named party's details before the model sees them.</w:t>
            </w:r>
          </w:p>
          <w:p>
            <w:pPr>
              <w:spacing w:after="40" w:line="250"/>
            </w:pPr>
            <w:r>
              <w:rPr>
                <w:rFonts w:ascii="Calibri" w:cs="Calibri" w:eastAsia="Calibri" w:hAnsi="Calibri"/>
                <w:b w:val="false"/>
                <w:bCs w:val="false"/>
                <w:i w:val="false"/>
                <w:iCs w:val="false"/>
                <w:sz w:val="17"/>
                <w:szCs w:val="17"/>
              </w:rPr>
              <w:t xml:space="preserve">Why it's a problem: rare-but-real truncation risk on the very party the draft targets.</w:t>
            </w:r>
          </w:p>
        </w:tc>
        <w:tc>
          <w:tcPr>
            <w:tcW w:type="dxa" w:w="4060"/>
            <w:shd w:fill="F2F5F9"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Feed the scoping call the party-relevant span (or raise its cap); acceptable to keep both calls. Basis: don't truncate away the input the decision depends on.</w:t>
            </w:r>
          </w:p>
        </w:tc>
      </w:tr>
    </w:tbl>
    <w:p>
      <w:pPr>
        <w:pStyle w:val="Heading2"/>
        <w:spacing w:after="60" w:before="260"/>
      </w:pPr>
      <w:r>
        <w:rPr>
          <w:rFonts w:ascii="Calibri" w:cs="Calibri" w:eastAsia="Calibri" w:hAnsi="Calibri"/>
          <w:b/>
          <w:bCs/>
          <w:i w:val="false"/>
          <w:iCs w:val="false"/>
          <w:color w:val="1F3A5F"/>
          <w:sz w:val="24"/>
          <w:szCs w:val="24"/>
        </w:rPr>
        <w:t xml:space="preserve">3. OUTLINE_SYSTEM / OUTLINE_USER and REPAIR_SYSTEM / REPAIR_USER — DEAD, and a missing repair loop</w:t>
      </w:r>
    </w:p>
    <w:p>
      <w:pPr>
        <w:spacing w:after="60" w:before="0" w:line="264"/>
      </w:pPr>
      <w:r>
        <w:rPr>
          <w:rFonts w:ascii="Calibri" w:cs="Calibri" w:eastAsia="Calibri" w:hAnsi="Calibri"/>
          <w:b/>
          <w:bCs/>
          <w:i w:val="false"/>
          <w:iCs w:val="false"/>
          <w:color w:val="555555"/>
          <w:sz w:val="17"/>
          <w:szCs w:val="17"/>
        </w:rPr>
        <w:t xml:space="preserve">Where: </w:t>
      </w:r>
      <w:r>
        <w:rPr>
          <w:rFonts w:ascii="Calibri" w:cs="Calibri" w:eastAsia="Calibri" w:hAnsi="Calibri"/>
          <w:b w:val="false"/>
          <w:bCs w:val="false"/>
          <w:i/>
          <w:iCs/>
          <w:color w:val="555555"/>
          <w:sz w:val="17"/>
          <w:szCs w:val="17"/>
        </w:rPr>
        <w:t xml:space="preserve">prompts/drafter.py (~15, ~31, ~88, ~94) — defined; grep finds no invocation anywhere in the live tree</w:t>
      </w:r>
    </w:p>
    <w:p>
      <w:pPr>
        <w:spacing w:after="100" w:before="0" w:line="264"/>
      </w:pPr>
      <w:r>
        <w:rPr>
          <w:rFonts w:ascii="Calibri" w:cs="Calibri" w:eastAsia="Calibri" w:hAnsi="Calibri"/>
          <w:b w:val="false"/>
          <w:bCs w:val="false"/>
          <w:i w:val="false"/>
          <w:iCs w:val="false"/>
          <w:sz w:val="18"/>
          <w:szCs w:val="18"/>
        </w:rPr>
        <w:t xml:space="preserve">Four of the six prompts in prompts/drafter.py are never called. This is dead prompt debt plus a functional gap it points to.</w:t>
      </w:r>
    </w:p>
    <w:tbl>
      <w:tblPr>
        <w:tblW w:type="dxa" w:w="13680"/>
        <w:tblBorders>
          <w:top w:val="single" w:color="9AA7B4" w:sz="4"/>
          <w:left w:val="single" w:color="9AA7B4" w:sz="4"/>
          <w:bottom w:val="single" w:color="9AA7B4" w:sz="4"/>
          <w:right w:val="single" w:color="9AA7B4" w:sz="4"/>
          <w:insideH w:val="single" w:color="C7D0DA" w:sz="2"/>
          <w:insideV w:val="single" w:color="C7D0DA" w:sz="2"/>
        </w:tblBorders>
      </w:tblPr>
      <w:tblGrid>
        <w:gridCol w:w="2500"/>
        <w:gridCol w:w="3560"/>
        <w:gridCol w:w="3560"/>
        <w:gridCol w:w="4060"/>
      </w:tblGrid>
      <w:tr>
        <w:trPr>
          <w:tblHeader/>
        </w:trPr>
        <w:tc>
          <w:tcPr>
            <w:tcW w:type="dxa" w:w="2500"/>
            <w:shd w:fill="1F3A5F" w:color="auto" w:val="clear"/>
            <w:tcMar>
              <w:top w:type="dxa" w:w="60"/>
              <w:left w:type="dxa" w:w="90"/>
              <w:bottom w:type="dxa" w:w="60"/>
              <w:right w:type="dxa" w:w="90"/>
            </w:tcMar>
          </w:tcPr>
          <w:p>
            <w:pPr>
              <w:spacing w:after="0"/>
            </w:pPr>
            <w:r>
              <w:rPr>
                <w:rFonts w:ascii="Calibri" w:cs="Calibri" w:eastAsia="Calibri" w:hAnsi="Calibri"/>
                <w:b/>
                <w:bCs/>
                <w:i w:val="false"/>
                <w:iCs w:val="false"/>
                <w:color w:val="FFFFFF"/>
                <w:sz w:val="18"/>
                <w:szCs w:val="18"/>
              </w:rPr>
              <w:t xml:space="preserve">Issue (facet of this prompt)</w:t>
            </w:r>
          </w:p>
        </w:tc>
        <w:tc>
          <w:tcPr>
            <w:tcW w:type="dxa" w:w="3560"/>
            <w:shd w:fill="1F3A5F" w:color="auto" w:val="clear"/>
            <w:tcMar>
              <w:top w:type="dxa" w:w="60"/>
              <w:left w:type="dxa" w:w="90"/>
              <w:bottom w:type="dxa" w:w="60"/>
              <w:right w:type="dxa" w:w="90"/>
            </w:tcMar>
          </w:tcPr>
          <w:p>
            <w:pPr>
              <w:spacing w:after="0"/>
            </w:pPr>
            <w:r>
              <w:rPr>
                <w:rFonts w:ascii="Calibri" w:cs="Calibri" w:eastAsia="Calibri" w:hAnsi="Calibri"/>
                <w:b/>
                <w:bCs/>
                <w:i w:val="false"/>
                <w:iCs w:val="false"/>
                <w:color w:val="FFFFFF"/>
                <w:sz w:val="18"/>
                <w:szCs w:val="18"/>
              </w:rPr>
              <w:t xml:space="preserve">What's good — and why</w:t>
            </w:r>
          </w:p>
        </w:tc>
        <w:tc>
          <w:tcPr>
            <w:tcW w:type="dxa" w:w="3560"/>
            <w:shd w:fill="1F3A5F" w:color="auto" w:val="clear"/>
            <w:tcMar>
              <w:top w:type="dxa" w:w="60"/>
              <w:left w:type="dxa" w:w="90"/>
              <w:bottom w:type="dxa" w:w="60"/>
              <w:right w:type="dxa" w:w="90"/>
            </w:tcMar>
          </w:tcPr>
          <w:p>
            <w:pPr>
              <w:spacing w:after="0"/>
            </w:pPr>
            <w:r>
              <w:rPr>
                <w:rFonts w:ascii="Calibri" w:cs="Calibri" w:eastAsia="Calibri" w:hAnsi="Calibri"/>
                <w:b/>
                <w:bCs/>
                <w:i w:val="false"/>
                <w:iCs w:val="false"/>
                <w:color w:val="FFFFFF"/>
                <w:sz w:val="18"/>
                <w:szCs w:val="18"/>
              </w:rPr>
              <w:t xml:space="preserve">What's bad — and why it's a problem</w:t>
            </w:r>
          </w:p>
        </w:tc>
        <w:tc>
          <w:tcPr>
            <w:tcW w:type="dxa" w:w="4060"/>
            <w:shd w:fill="1F3A5F" w:color="auto" w:val="clear"/>
            <w:tcMar>
              <w:top w:type="dxa" w:w="60"/>
              <w:left w:type="dxa" w:w="90"/>
              <w:bottom w:type="dxa" w:w="60"/>
              <w:right w:type="dxa" w:w="90"/>
            </w:tcMar>
          </w:tcPr>
          <w:p>
            <w:pPr>
              <w:spacing w:after="0"/>
            </w:pPr>
            <w:r>
              <w:rPr>
                <w:rFonts w:ascii="Calibri" w:cs="Calibri" w:eastAsia="Calibri" w:hAnsi="Calibri"/>
                <w:b/>
                <w:bCs/>
                <w:i w:val="false"/>
                <w:iCs w:val="false"/>
                <w:color w:val="FFFFFF"/>
                <w:sz w:val="18"/>
                <w:szCs w:val="18"/>
              </w:rPr>
              <w:t xml:space="preserve">How to improve — and on what basis</w:t>
            </w:r>
          </w:p>
        </w:tc>
      </w:tr>
      <w:tr>
        <w:tc>
          <w:tcPr>
            <w:tcW w:type="dxa" w:w="2500"/>
            <w:shd w:fill="FFFFFF"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OUTLINE_* is dead; the outliner is deterministic</w:t>
            </w:r>
          </w:p>
        </w:tc>
        <w:tc>
          <w:tcPr>
            <w:tcW w:type="dxa" w:w="3560"/>
            <w:shd w:fill="FFFFFF"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The deterministic outliner is arguably safer than an LLM outline (it builds statute_map only from verified charges, not the raw pool) — a deliberate, defensible choice.</w:t>
            </w:r>
          </w:p>
        </w:tc>
        <w:tc>
          <w:tcPr>
            <w:tcW w:type="dxa" w:w="3560"/>
            <w:shd w:fill="FFFFFF"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OUTLINE_SYSTEM/USER describe an LLM outline pass that was never wired (the outliner docstring says the enrichment “lands in a follow-up PR”). A reader sees a documented outline-prompt chain that doesn't run, and SECTION_* references “the outline's statute_map/precedent_map” as if produced by OUTLINE_*.</w:t>
            </w:r>
          </w:p>
          <w:p>
            <w:pPr>
              <w:spacing w:after="40" w:line="250"/>
            </w:pPr>
            <w:r>
              <w:rPr>
                <w:rFonts w:ascii="Calibri" w:cs="Calibri" w:eastAsia="Calibri" w:hAnsi="Calibri"/>
                <w:b w:val="false"/>
                <w:bCs w:val="false"/>
                <w:i w:val="false"/>
                <w:iCs w:val="false"/>
                <w:sz w:val="17"/>
                <w:szCs w:val="17"/>
              </w:rPr>
              <w:t xml:space="preserve">Why it's a problem: misleading dead code; comprehension cost; invites edits to a prompt that has no effect.</w:t>
            </w:r>
          </w:p>
        </w:tc>
        <w:tc>
          <w:tcPr>
            <w:tcW w:type="dxa" w:w="4060"/>
            <w:shd w:fill="FFFFFF"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Delete OUTLINE_SYSTEM/USER (and update the module + outliner docstrings), or wire them if an LLM outline is actually wanted. Basis: the prompt file should reflect what runs.</w:t>
            </w:r>
          </w:p>
        </w:tc>
      </w:tr>
      <w:tr>
        <w:tc>
          <w:tcPr>
            <w:tcW w:type="dxa" w:w="2500"/>
            <w:shd w:fill="F2F5F9"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REPAIR_* is dead — the verifier finds issues but nothing auto-repairs</w:t>
            </w:r>
          </w:p>
        </w:tc>
        <w:tc>
          <w:tcPr>
            <w:tcW w:type="dxa" w:w="3560"/>
            <w:shd w:fill="F2F5F9"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The verifier exists and flags section issues deterministically.</w:t>
            </w:r>
          </w:p>
        </w:tc>
        <w:tc>
          <w:tcPr>
            <w:tcW w:type="dxa" w:w="3560"/>
            <w:shd w:fill="F2F5F9"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REPAIR_SYSTEM/USER are the obvious “verifier flags → redraft the section” loop, but nothing invokes them. So a verifier finding appears to surface as a [GAP]/flag rather than trigger an automatic fix — the self-healing step is designed but not connected.</w:t>
            </w:r>
          </w:p>
          <w:p>
            <w:pPr>
              <w:spacing w:after="40" w:line="250"/>
            </w:pPr>
            <w:r>
              <w:rPr>
                <w:rFonts w:ascii="Calibri" w:cs="Calibri" w:eastAsia="Calibri" w:hAnsi="Calibri"/>
                <w:b w:val="false"/>
                <w:bCs w:val="false"/>
                <w:i w:val="false"/>
                <w:iCs w:val="false"/>
                <w:sz w:val="17"/>
                <w:szCs w:val="17"/>
              </w:rPr>
              <w:t xml:space="preserve">Verify: whether any repair-retry path exists; if not, this is a functional gap, not just dead text.</w:t>
            </w:r>
          </w:p>
        </w:tc>
        <w:tc>
          <w:tcPr>
            <w:tcW w:type="dxa" w:w="4060"/>
            <w:shd w:fill="F2F5F9"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Either wire the verifier→REPAIR_*→re-draft retry (the prompts are ready), or delete them and make the “flag only” behaviour explicit. Basis: a verify step is far more valuable with a repair step behind it.</w:t>
            </w:r>
          </w:p>
        </w:tc>
      </w:tr>
    </w:tbl>
    <w:p>
      <w:pPr>
        <w:pStyle w:val="Heading2"/>
        <w:spacing w:after="60" w:before="260"/>
      </w:pPr>
      <w:r>
        <w:rPr>
          <w:rFonts w:ascii="Calibri" w:cs="Calibri" w:eastAsia="Calibri" w:hAnsi="Calibri"/>
          <w:b/>
          <w:bCs/>
          <w:i w:val="false"/>
          <w:iCs w:val="false"/>
          <w:color w:val="1F3A5F"/>
          <w:sz w:val="24"/>
          <w:szCs w:val="24"/>
        </w:rPr>
        <w:t xml:space="preserve">4. format_drafting_block — the single-shot drafting-template path</w:t>
      </w:r>
    </w:p>
    <w:p>
      <w:pPr>
        <w:spacing w:after="60" w:before="0" w:line="264"/>
      </w:pPr>
      <w:r>
        <w:rPr>
          <w:rFonts w:ascii="Calibri" w:cs="Calibri" w:eastAsia="Calibri" w:hAnsi="Calibri"/>
          <w:b/>
          <w:bCs/>
          <w:i w:val="false"/>
          <w:iCs w:val="false"/>
          <w:color w:val="555555"/>
          <w:sz w:val="17"/>
          <w:szCs w:val="17"/>
        </w:rPr>
        <w:t xml:space="preserve">Where: </w:t>
      </w:r>
      <w:r>
        <w:rPr>
          <w:rFonts w:ascii="Calibri" w:cs="Calibri" w:eastAsia="Calibri" w:hAnsi="Calibri"/>
          <w:b w:val="false"/>
          <w:bCs w:val="false"/>
          <w:i/>
          <w:iCs/>
          <w:color w:val="555555"/>
          <w:sz w:val="17"/>
          <w:szCs w:val="17"/>
        </w:rPr>
        <w:t xml:space="preserve">agents/drafting_templates.py (~162); injected into the memo path when answer_mode=='draft' (no separate LLM call — a system-prompt block)</w:t>
      </w:r>
    </w:p>
    <w:p>
      <w:pPr>
        <w:spacing w:after="100" w:before="0" w:line="264"/>
      </w:pPr>
      <w:r>
        <w:rPr>
          <w:rFonts w:ascii="Calibri" w:cs="Calibri" w:eastAsia="Calibri" w:hAnsi="Calibri"/>
          <w:b w:val="false"/>
          <w:bCs w:val="false"/>
          <w:i w:val="false"/>
          <w:iCs w:val="false"/>
          <w:sz w:val="18"/>
          <w:szCs w:val="18"/>
        </w:rPr>
        <w:t xml:space="preserve">A second, separate drafting mechanism: fill a canned template in one shot, distinct from the multi-step sub-graph.</w:t>
      </w:r>
    </w:p>
    <w:tbl>
      <w:tblPr>
        <w:tblW w:type="dxa" w:w="13680"/>
        <w:tblBorders>
          <w:top w:val="single" w:color="9AA7B4" w:sz="4"/>
          <w:left w:val="single" w:color="9AA7B4" w:sz="4"/>
          <w:bottom w:val="single" w:color="9AA7B4" w:sz="4"/>
          <w:right w:val="single" w:color="9AA7B4" w:sz="4"/>
          <w:insideH w:val="single" w:color="C7D0DA" w:sz="2"/>
          <w:insideV w:val="single" w:color="C7D0DA" w:sz="2"/>
        </w:tblBorders>
      </w:tblPr>
      <w:tblGrid>
        <w:gridCol w:w="2500"/>
        <w:gridCol w:w="3560"/>
        <w:gridCol w:w="3560"/>
        <w:gridCol w:w="4060"/>
      </w:tblGrid>
      <w:tr>
        <w:trPr>
          <w:tblHeader/>
        </w:trPr>
        <w:tc>
          <w:tcPr>
            <w:tcW w:type="dxa" w:w="2500"/>
            <w:shd w:fill="1F3A5F" w:color="auto" w:val="clear"/>
            <w:tcMar>
              <w:top w:type="dxa" w:w="60"/>
              <w:left w:type="dxa" w:w="90"/>
              <w:bottom w:type="dxa" w:w="60"/>
              <w:right w:type="dxa" w:w="90"/>
            </w:tcMar>
          </w:tcPr>
          <w:p>
            <w:pPr>
              <w:spacing w:after="0"/>
            </w:pPr>
            <w:r>
              <w:rPr>
                <w:rFonts w:ascii="Calibri" w:cs="Calibri" w:eastAsia="Calibri" w:hAnsi="Calibri"/>
                <w:b/>
                <w:bCs/>
                <w:i w:val="false"/>
                <w:iCs w:val="false"/>
                <w:color w:val="FFFFFF"/>
                <w:sz w:val="18"/>
                <w:szCs w:val="18"/>
              </w:rPr>
              <w:t xml:space="preserve">Issue (facet of this prompt)</w:t>
            </w:r>
          </w:p>
        </w:tc>
        <w:tc>
          <w:tcPr>
            <w:tcW w:type="dxa" w:w="3560"/>
            <w:shd w:fill="1F3A5F" w:color="auto" w:val="clear"/>
            <w:tcMar>
              <w:top w:type="dxa" w:w="60"/>
              <w:left w:type="dxa" w:w="90"/>
              <w:bottom w:type="dxa" w:w="60"/>
              <w:right w:type="dxa" w:w="90"/>
            </w:tcMar>
          </w:tcPr>
          <w:p>
            <w:pPr>
              <w:spacing w:after="0"/>
            </w:pPr>
            <w:r>
              <w:rPr>
                <w:rFonts w:ascii="Calibri" w:cs="Calibri" w:eastAsia="Calibri" w:hAnsi="Calibri"/>
                <w:b/>
                <w:bCs/>
                <w:i w:val="false"/>
                <w:iCs w:val="false"/>
                <w:color w:val="FFFFFF"/>
                <w:sz w:val="18"/>
                <w:szCs w:val="18"/>
              </w:rPr>
              <w:t xml:space="preserve">What's good — and why</w:t>
            </w:r>
          </w:p>
        </w:tc>
        <w:tc>
          <w:tcPr>
            <w:tcW w:type="dxa" w:w="3560"/>
            <w:shd w:fill="1F3A5F" w:color="auto" w:val="clear"/>
            <w:tcMar>
              <w:top w:type="dxa" w:w="60"/>
              <w:left w:type="dxa" w:w="90"/>
              <w:bottom w:type="dxa" w:w="60"/>
              <w:right w:type="dxa" w:w="90"/>
            </w:tcMar>
          </w:tcPr>
          <w:p>
            <w:pPr>
              <w:spacing w:after="0"/>
            </w:pPr>
            <w:r>
              <w:rPr>
                <w:rFonts w:ascii="Calibri" w:cs="Calibri" w:eastAsia="Calibri" w:hAnsi="Calibri"/>
                <w:b/>
                <w:bCs/>
                <w:i w:val="false"/>
                <w:iCs w:val="false"/>
                <w:color w:val="FFFFFF"/>
                <w:sz w:val="18"/>
                <w:szCs w:val="18"/>
              </w:rPr>
              <w:t xml:space="preserve">What's bad — and why it's a problem</w:t>
            </w:r>
          </w:p>
        </w:tc>
        <w:tc>
          <w:tcPr>
            <w:tcW w:type="dxa" w:w="4060"/>
            <w:shd w:fill="1F3A5F" w:color="auto" w:val="clear"/>
            <w:tcMar>
              <w:top w:type="dxa" w:w="60"/>
              <w:left w:type="dxa" w:w="90"/>
              <w:bottom w:type="dxa" w:w="60"/>
              <w:right w:type="dxa" w:w="90"/>
            </w:tcMar>
          </w:tcPr>
          <w:p>
            <w:pPr>
              <w:spacing w:after="0"/>
            </w:pPr>
            <w:r>
              <w:rPr>
                <w:rFonts w:ascii="Calibri" w:cs="Calibri" w:eastAsia="Calibri" w:hAnsi="Calibri"/>
                <w:b/>
                <w:bCs/>
                <w:i w:val="false"/>
                <w:iCs w:val="false"/>
                <w:color w:val="FFFFFF"/>
                <w:sz w:val="18"/>
                <w:szCs w:val="18"/>
              </w:rPr>
              <w:t xml:space="preserve">How to improve — and on what basis</w:t>
            </w:r>
          </w:p>
        </w:tc>
      </w:tr>
      <w:tr>
        <w:tc>
          <w:tcPr>
            <w:tcW w:type="dxa" w:w="2500"/>
            <w:shd w:fill="FFFFFF"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Grounded template-fill with clean output</w:t>
            </w:r>
          </w:p>
        </w:tc>
        <w:tc>
          <w:tcPr>
            <w:tcW w:type="dxa" w:w="3560"/>
            <w:shd w:fill="FFFFFF"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When a template matches, it says fill the [PLACEHOLDER] tokens from the matter facts + retrieved authorities, cite statutory sections by chunk_id, and “output the completed draft verbatim, no extra commentary” — keeps the structured path grounded and free of chatter.</w:t>
            </w:r>
          </w:p>
        </w:tc>
        <w:tc>
          <w:tcPr>
            <w:tcW w:type="dxa" w:w="3560"/>
            <w:shd w:fill="FFFFFF"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w:t>
            </w:r>
          </w:p>
        </w:tc>
        <w:tc>
          <w:tcPr>
            <w:tcW w:type="dxa" w:w="4060"/>
            <w:shd w:fill="FFFFFF"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Keep the matched-template branch.</w:t>
            </w:r>
          </w:p>
        </w:tc>
      </w:tr>
      <w:tr>
        <w:tc>
          <w:tcPr>
            <w:tcW w:type="dxa" w:w="2500"/>
            <w:shd w:fill="F2F5F9"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The no-template fallback invites ungrounded drafting</w:t>
            </w:r>
          </w:p>
        </w:tc>
        <w:tc>
          <w:tcPr>
            <w:tcW w:type="dxa" w:w="3560"/>
            <w:shd w:fill="F2F5F9"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It still asks for a citation on any statutory section invoked.</w:t>
            </w:r>
          </w:p>
        </w:tc>
        <w:tc>
          <w:tcPr>
            <w:tcW w:type="dxa" w:w="3560"/>
            <w:shd w:fill="F2F5F9"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The fallback says “produce a clean draft … using your knowledge of Indian legal drafting conventions.” That is the one place the otherwise-strict grounding posture is relaxed, and it only requires citing statutory sections — not grounding the substantive averments — so a fallback draft can carry ungrounded legal content.</w:t>
            </w:r>
          </w:p>
          <w:p>
            <w:pPr>
              <w:spacing w:after="40" w:line="250"/>
            </w:pPr>
            <w:r>
              <w:rPr>
                <w:rFonts w:ascii="Calibri" w:cs="Calibri" w:eastAsia="Calibri" w:hAnsi="Calibri"/>
                <w:b w:val="false"/>
                <w:bCs w:val="false"/>
                <w:i w:val="false"/>
                <w:iCs w:val="false"/>
                <w:sz w:val="17"/>
                <w:szCs w:val="17"/>
              </w:rPr>
              <w:t xml:space="preserve">Why it's a problem: an inconsistency with the “no training-data law” rule that governs everywhere else.</w:t>
            </w:r>
          </w:p>
        </w:tc>
        <w:tc>
          <w:tcPr>
            <w:tcW w:type="dxa" w:w="4060"/>
            <w:shd w:fill="F2F5F9"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Constrain the fallback too: training knowledge for pure format/boilerplate only; any legal content must come from the retrieved evidence and cite it. Basis: the grounding rule shouldn't have a silent exception in a draft the user may file.</w:t>
            </w:r>
          </w:p>
        </w:tc>
      </w:tr>
      <w:tr>
        <w:tc>
          <w:tcPr>
            <w:tcW w:type="dxa" w:w="2500"/>
            <w:shd w:fill="FFFFFF"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Two drafting systems coexist</w:t>
            </w:r>
          </w:p>
        </w:tc>
        <w:tc>
          <w:tcPr>
            <w:tcW w:type="dxa" w:w="3560"/>
            <w:shd w:fill="FFFFFF"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Each has a rationale (single-shot for simple templates; multi-step for complex, verified filings).</w:t>
            </w:r>
          </w:p>
        </w:tc>
        <w:tc>
          <w:tcPr>
            <w:tcW w:type="dxa" w:w="3560"/>
            <w:shd w:fill="FFFFFF"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The single-shot block (answer_mode=='draft') and the multi-step sub-graph (deliverable route) are two independent drafting paths with overlapping purpose; which one fires for a given request isn't obvious, and both must be maintained.</w:t>
            </w:r>
          </w:p>
          <w:p>
            <w:pPr>
              <w:spacing w:after="40" w:line="250"/>
            </w:pPr>
            <w:r>
              <w:rPr>
                <w:rFonts w:ascii="Calibri" w:cs="Calibri" w:eastAsia="Calibri" w:hAnsi="Calibri"/>
                <w:b w:val="false"/>
                <w:bCs w:val="false"/>
                <w:i w:val="false"/>
                <w:iCs w:val="false"/>
                <w:sz w:val="17"/>
                <w:szCs w:val="17"/>
              </w:rPr>
              <w:t xml:space="preserve">Verify: the exact routing boundary between the two.</w:t>
            </w:r>
          </w:p>
        </w:tc>
        <w:tc>
          <w:tcPr>
            <w:tcW w:type="dxa" w:w="4060"/>
            <w:shd w:fill="FFFFFF"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Document the boundary explicitly (or converge on the multi-step path for anything that needs verified citations). Basis: two paths to the same outcome is a maintenance and consistency hazard.</w:t>
            </w:r>
          </w:p>
        </w:tc>
      </w:tr>
    </w:tbl>
    <w:p>
      <w:pPr>
        <w:pStyle w:val="Heading2"/>
        <w:spacing w:after="60" w:before="260"/>
      </w:pPr>
      <w:r>
        <w:rPr>
          <w:rFonts w:ascii="Calibri" w:cs="Calibri" w:eastAsia="Calibri" w:hAnsi="Calibri"/>
          <w:b/>
          <w:bCs/>
          <w:i w:val="false"/>
          <w:iCs w:val="false"/>
          <w:color w:val="1F3A5F"/>
          <w:sz w:val="24"/>
          <w:szCs w:val="24"/>
        </w:rPr>
        <w:t xml:space="preserve">5. _RANKED_REQ_PROMPT — “is this a top-N most-cited authorities request?”</w:t>
      </w:r>
    </w:p>
    <w:p>
      <w:pPr>
        <w:spacing w:after="60" w:before="0" w:line="264"/>
      </w:pPr>
      <w:r>
        <w:rPr>
          <w:rFonts w:ascii="Calibri" w:cs="Calibri" w:eastAsia="Calibri" w:hAnsi="Calibri"/>
          <w:b/>
          <w:bCs/>
          <w:i w:val="false"/>
          <w:iCs w:val="false"/>
          <w:color w:val="555555"/>
          <w:sz w:val="17"/>
          <w:szCs w:val="17"/>
        </w:rPr>
        <w:t xml:space="preserve">Where: </w:t>
      </w:r>
      <w:r>
        <w:rPr>
          <w:rFonts w:ascii="Calibri" w:cs="Calibri" w:eastAsia="Calibri" w:hAnsi="Calibri"/>
          <w:b w:val="false"/>
          <w:bCs w:val="false"/>
          <w:i/>
          <w:iCs/>
          <w:color w:val="555555"/>
          <w:sz w:val="17"/>
          <w:szCs w:val="17"/>
        </w:rPr>
        <w:t xml:space="preserve">agents/orchestrator.py (~72); called only when the query contains ranked-cue words; weight=“light”</w:t>
      </w:r>
    </w:p>
    <w:p>
      <w:pPr>
        <w:spacing w:after="100" w:before="0" w:line="264"/>
      </w:pPr>
      <w:r>
        <w:rPr>
          <w:rFonts w:ascii="Calibri" w:cs="Calibri" w:eastAsia="Calibri" w:hAnsi="Calibri"/>
          <w:b w:val="false"/>
          <w:bCs w:val="false"/>
          <w:i w:val="false"/>
          <w:iCs w:val="false"/>
          <w:sz w:val="18"/>
          <w:szCs w:val="18"/>
        </w:rPr>
        <w:t xml:space="preserve">Detects and parameterises a ranked-authorities request.</w:t>
      </w:r>
    </w:p>
    <w:tbl>
      <w:tblPr>
        <w:tblW w:type="dxa" w:w="13680"/>
        <w:tblBorders>
          <w:top w:val="single" w:color="9AA7B4" w:sz="4"/>
          <w:left w:val="single" w:color="9AA7B4" w:sz="4"/>
          <w:bottom w:val="single" w:color="9AA7B4" w:sz="4"/>
          <w:right w:val="single" w:color="9AA7B4" w:sz="4"/>
          <w:insideH w:val="single" w:color="C7D0DA" w:sz="2"/>
          <w:insideV w:val="single" w:color="C7D0DA" w:sz="2"/>
        </w:tblBorders>
      </w:tblPr>
      <w:tblGrid>
        <w:gridCol w:w="2500"/>
        <w:gridCol w:w="3560"/>
        <w:gridCol w:w="3560"/>
        <w:gridCol w:w="4060"/>
      </w:tblGrid>
      <w:tr>
        <w:trPr>
          <w:tblHeader/>
        </w:trPr>
        <w:tc>
          <w:tcPr>
            <w:tcW w:type="dxa" w:w="2500"/>
            <w:shd w:fill="1F3A5F" w:color="auto" w:val="clear"/>
            <w:tcMar>
              <w:top w:type="dxa" w:w="60"/>
              <w:left w:type="dxa" w:w="90"/>
              <w:bottom w:type="dxa" w:w="60"/>
              <w:right w:type="dxa" w:w="90"/>
            </w:tcMar>
          </w:tcPr>
          <w:p>
            <w:pPr>
              <w:spacing w:after="0"/>
            </w:pPr>
            <w:r>
              <w:rPr>
                <w:rFonts w:ascii="Calibri" w:cs="Calibri" w:eastAsia="Calibri" w:hAnsi="Calibri"/>
                <w:b/>
                <w:bCs/>
                <w:i w:val="false"/>
                <w:iCs w:val="false"/>
                <w:color w:val="FFFFFF"/>
                <w:sz w:val="18"/>
                <w:szCs w:val="18"/>
              </w:rPr>
              <w:t xml:space="preserve">Issue (facet of this prompt)</w:t>
            </w:r>
          </w:p>
        </w:tc>
        <w:tc>
          <w:tcPr>
            <w:tcW w:type="dxa" w:w="3560"/>
            <w:shd w:fill="1F3A5F" w:color="auto" w:val="clear"/>
            <w:tcMar>
              <w:top w:type="dxa" w:w="60"/>
              <w:left w:type="dxa" w:w="90"/>
              <w:bottom w:type="dxa" w:w="60"/>
              <w:right w:type="dxa" w:w="90"/>
            </w:tcMar>
          </w:tcPr>
          <w:p>
            <w:pPr>
              <w:spacing w:after="0"/>
            </w:pPr>
            <w:r>
              <w:rPr>
                <w:rFonts w:ascii="Calibri" w:cs="Calibri" w:eastAsia="Calibri" w:hAnsi="Calibri"/>
                <w:b/>
                <w:bCs/>
                <w:i w:val="false"/>
                <w:iCs w:val="false"/>
                <w:color w:val="FFFFFF"/>
                <w:sz w:val="18"/>
                <w:szCs w:val="18"/>
              </w:rPr>
              <w:t xml:space="preserve">What's good — and why</w:t>
            </w:r>
          </w:p>
        </w:tc>
        <w:tc>
          <w:tcPr>
            <w:tcW w:type="dxa" w:w="3560"/>
            <w:shd w:fill="1F3A5F" w:color="auto" w:val="clear"/>
            <w:tcMar>
              <w:top w:type="dxa" w:w="60"/>
              <w:left w:type="dxa" w:w="90"/>
              <w:bottom w:type="dxa" w:w="60"/>
              <w:right w:type="dxa" w:w="90"/>
            </w:tcMar>
          </w:tcPr>
          <w:p>
            <w:pPr>
              <w:spacing w:after="0"/>
            </w:pPr>
            <w:r>
              <w:rPr>
                <w:rFonts w:ascii="Calibri" w:cs="Calibri" w:eastAsia="Calibri" w:hAnsi="Calibri"/>
                <w:b/>
                <w:bCs/>
                <w:i w:val="false"/>
                <w:iCs w:val="false"/>
                <w:color w:val="FFFFFF"/>
                <w:sz w:val="18"/>
                <w:szCs w:val="18"/>
              </w:rPr>
              <w:t xml:space="preserve">What's bad — and why it's a problem</w:t>
            </w:r>
          </w:p>
        </w:tc>
        <w:tc>
          <w:tcPr>
            <w:tcW w:type="dxa" w:w="4060"/>
            <w:shd w:fill="1F3A5F" w:color="auto" w:val="clear"/>
            <w:tcMar>
              <w:top w:type="dxa" w:w="60"/>
              <w:left w:type="dxa" w:w="90"/>
              <w:bottom w:type="dxa" w:w="60"/>
              <w:right w:type="dxa" w:w="90"/>
            </w:tcMar>
          </w:tcPr>
          <w:p>
            <w:pPr>
              <w:spacing w:after="0"/>
            </w:pPr>
            <w:r>
              <w:rPr>
                <w:rFonts w:ascii="Calibri" w:cs="Calibri" w:eastAsia="Calibri" w:hAnsi="Calibri"/>
                <w:b/>
                <w:bCs/>
                <w:i w:val="false"/>
                <w:iCs w:val="false"/>
                <w:color w:val="FFFFFF"/>
                <w:sz w:val="18"/>
                <w:szCs w:val="18"/>
              </w:rPr>
              <w:t xml:space="preserve">How to improve — and on what basis</w:t>
            </w:r>
          </w:p>
        </w:tc>
      </w:tr>
      <w:tr>
        <w:tc>
          <w:tcPr>
            <w:tcW w:type="dxa" w:w="2500"/>
            <w:shd w:fill="FFFFFF"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Gated by a cheap pre-check — does NOT fire every turn</w:t>
            </w:r>
          </w:p>
        </w:tc>
        <w:tc>
          <w:tcPr>
            <w:tcW w:type="dxa" w:w="3560"/>
            <w:shd w:fill="FFFFFF"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The LLM call runs only when the query contains a ranked cue word (a deterministic substring gate), so ordinary turns pay nothing. Light tier, bounded JSON (n clamped 1–20), generalised (no topic hardcoded). This is exactly the right pattern — cheap gate before the model — that other per-turn classifiers should imitate.</w:t>
            </w:r>
          </w:p>
        </w:tc>
        <w:tc>
          <w:tcPr>
            <w:tcW w:type="dxa" w:w="3560"/>
            <w:shd w:fill="FFFFFF"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w:t>
            </w:r>
          </w:p>
        </w:tc>
        <w:tc>
          <w:tcPr>
            <w:tcW w:type="dxa" w:w="4060"/>
            <w:shd w:fill="FFFFFF"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Keep; use it as the reference pattern for gating rare-intent LLM calls.</w:t>
            </w:r>
          </w:p>
        </w:tc>
      </w:tr>
      <w:tr>
        <w:tc>
          <w:tcPr>
            <w:tcW w:type="dxa" w:w="2500"/>
            <w:shd w:fill="F2F5F9"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Cue-gate can miss phrasings</w:t>
            </w:r>
          </w:p>
        </w:tc>
        <w:tc>
          <w:tcPr>
            <w:tcW w:type="dxa" w:w="3560"/>
            <w:shd w:fill="F2F5F9"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The gate favours precision (few false triggers) over recall.</w:t>
            </w:r>
          </w:p>
        </w:tc>
        <w:tc>
          <w:tcPr>
            <w:tcW w:type="dxa" w:w="3560"/>
            <w:shd w:fill="F2F5F9"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A ranked request phrased without a cue word (“which judgments matter most on …”) is silently routed to the ordinary path.</w:t>
            </w:r>
          </w:p>
          <w:p>
            <w:pPr>
              <w:spacing w:after="40" w:line="250"/>
            </w:pPr>
            <w:r>
              <w:rPr>
                <w:rFonts w:ascii="Calibri" w:cs="Calibri" w:eastAsia="Calibri" w:hAnsi="Calibri"/>
                <w:b w:val="false"/>
                <w:bCs w:val="false"/>
                <w:i w:val="false"/>
                <w:iCs w:val="false"/>
                <w:sz w:val="17"/>
                <w:szCs w:val="17"/>
              </w:rPr>
              <w:t xml:space="preserve">Minor: occasional false negative, not a correctness hazard.</w:t>
            </w:r>
          </w:p>
        </w:tc>
        <w:tc>
          <w:tcPr>
            <w:tcW w:type="dxa" w:w="4060"/>
            <w:shd w:fill="F2F5F9"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Widen the cue set if misses are observed in logs. Basis: tune the gate from real traffic, not speculation.</w:t>
            </w:r>
          </w:p>
        </w:tc>
      </w:tr>
    </w:tbl>
    <w:p>
      <w:pPr>
        <w:pStyle w:val="Heading2"/>
        <w:spacing w:after="60" w:before="260"/>
      </w:pPr>
      <w:r>
        <w:rPr>
          <w:rFonts w:ascii="Calibri" w:cs="Calibri" w:eastAsia="Calibri" w:hAnsi="Calibri"/>
          <w:b/>
          <w:bCs/>
          <w:i w:val="false"/>
          <w:iCs w:val="false"/>
          <w:color w:val="1F3A5F"/>
          <w:sz w:val="24"/>
          <w:szCs w:val="24"/>
        </w:rPr>
        <w:t xml:space="preserve">6. _REVIEW_MODE_PROMPT — second-opinion critique</w:t>
      </w:r>
    </w:p>
    <w:p>
      <w:pPr>
        <w:spacing w:after="60" w:before="0" w:line="264"/>
      </w:pPr>
      <w:r>
        <w:rPr>
          <w:rFonts w:ascii="Calibri" w:cs="Calibri" w:eastAsia="Calibri" w:hAnsi="Calibri"/>
          <w:b/>
          <w:bCs/>
          <w:i w:val="false"/>
          <w:iCs w:val="false"/>
          <w:color w:val="555555"/>
          <w:sz w:val="17"/>
          <w:szCs w:val="17"/>
        </w:rPr>
        <w:t xml:space="preserve">Where: </w:t>
      </w:r>
      <w:r>
        <w:rPr>
          <w:rFonts w:ascii="Calibri" w:cs="Calibri" w:eastAsia="Calibri" w:hAnsi="Calibri"/>
          <w:b w:val="false"/>
          <w:bCs w:val="false"/>
          <w:i/>
          <w:iCs/>
          <w:color w:val="555555"/>
          <w:sz w:val="17"/>
          <w:szCs w:val="17"/>
        </w:rPr>
        <w:t xml:space="preserve">agents/orchestrator.py (~1183); selected when answer_mode=='second_opinion'; deliver path (gpt-4o), user_draft + evidence in context</w:t>
      </w:r>
    </w:p>
    <w:p>
      <w:pPr>
        <w:spacing w:after="100" w:before="0" w:line="264"/>
      </w:pPr>
      <w:r>
        <w:rPr>
          <w:rFonts w:ascii="Calibri" w:cs="Calibri" w:eastAsia="Calibri" w:hAnsi="Calibri"/>
          <w:b w:val="false"/>
          <w:bCs w:val="false"/>
          <w:i w:val="false"/>
          <w:iCs w:val="false"/>
          <w:sz w:val="18"/>
          <w:szCs w:val="18"/>
        </w:rPr>
        <w:t xml:space="preserve">Critiques a user-supplied draft against the retrieved evidence.</w:t>
      </w:r>
    </w:p>
    <w:tbl>
      <w:tblPr>
        <w:tblW w:type="dxa" w:w="13680"/>
        <w:tblBorders>
          <w:top w:val="single" w:color="9AA7B4" w:sz="4"/>
          <w:left w:val="single" w:color="9AA7B4" w:sz="4"/>
          <w:bottom w:val="single" w:color="9AA7B4" w:sz="4"/>
          <w:right w:val="single" w:color="9AA7B4" w:sz="4"/>
          <w:insideH w:val="single" w:color="C7D0DA" w:sz="2"/>
          <w:insideV w:val="single" w:color="C7D0DA" w:sz="2"/>
        </w:tblBorders>
      </w:tblPr>
      <w:tblGrid>
        <w:gridCol w:w="2500"/>
        <w:gridCol w:w="3560"/>
        <w:gridCol w:w="3560"/>
        <w:gridCol w:w="4060"/>
      </w:tblGrid>
      <w:tr>
        <w:trPr>
          <w:tblHeader/>
        </w:trPr>
        <w:tc>
          <w:tcPr>
            <w:tcW w:type="dxa" w:w="2500"/>
            <w:shd w:fill="1F3A5F" w:color="auto" w:val="clear"/>
            <w:tcMar>
              <w:top w:type="dxa" w:w="60"/>
              <w:left w:type="dxa" w:w="90"/>
              <w:bottom w:type="dxa" w:w="60"/>
              <w:right w:type="dxa" w:w="90"/>
            </w:tcMar>
          </w:tcPr>
          <w:p>
            <w:pPr>
              <w:spacing w:after="0"/>
            </w:pPr>
            <w:r>
              <w:rPr>
                <w:rFonts w:ascii="Calibri" w:cs="Calibri" w:eastAsia="Calibri" w:hAnsi="Calibri"/>
                <w:b/>
                <w:bCs/>
                <w:i w:val="false"/>
                <w:iCs w:val="false"/>
                <w:color w:val="FFFFFF"/>
                <w:sz w:val="18"/>
                <w:szCs w:val="18"/>
              </w:rPr>
              <w:t xml:space="preserve">Issue (facet of this prompt)</w:t>
            </w:r>
          </w:p>
        </w:tc>
        <w:tc>
          <w:tcPr>
            <w:tcW w:type="dxa" w:w="3560"/>
            <w:shd w:fill="1F3A5F" w:color="auto" w:val="clear"/>
            <w:tcMar>
              <w:top w:type="dxa" w:w="60"/>
              <w:left w:type="dxa" w:w="90"/>
              <w:bottom w:type="dxa" w:w="60"/>
              <w:right w:type="dxa" w:w="90"/>
            </w:tcMar>
          </w:tcPr>
          <w:p>
            <w:pPr>
              <w:spacing w:after="0"/>
            </w:pPr>
            <w:r>
              <w:rPr>
                <w:rFonts w:ascii="Calibri" w:cs="Calibri" w:eastAsia="Calibri" w:hAnsi="Calibri"/>
                <w:b/>
                <w:bCs/>
                <w:i w:val="false"/>
                <w:iCs w:val="false"/>
                <w:color w:val="FFFFFF"/>
                <w:sz w:val="18"/>
                <w:szCs w:val="18"/>
              </w:rPr>
              <w:t xml:space="preserve">What's good — and why</w:t>
            </w:r>
          </w:p>
        </w:tc>
        <w:tc>
          <w:tcPr>
            <w:tcW w:type="dxa" w:w="3560"/>
            <w:shd w:fill="1F3A5F" w:color="auto" w:val="clear"/>
            <w:tcMar>
              <w:top w:type="dxa" w:w="60"/>
              <w:left w:type="dxa" w:w="90"/>
              <w:bottom w:type="dxa" w:w="60"/>
              <w:right w:type="dxa" w:w="90"/>
            </w:tcMar>
          </w:tcPr>
          <w:p>
            <w:pPr>
              <w:spacing w:after="0"/>
            </w:pPr>
            <w:r>
              <w:rPr>
                <w:rFonts w:ascii="Calibri" w:cs="Calibri" w:eastAsia="Calibri" w:hAnsi="Calibri"/>
                <w:b/>
                <w:bCs/>
                <w:i w:val="false"/>
                <w:iCs w:val="false"/>
                <w:color w:val="FFFFFF"/>
                <w:sz w:val="18"/>
                <w:szCs w:val="18"/>
              </w:rPr>
              <w:t xml:space="preserve">What's bad — and why it's a problem</w:t>
            </w:r>
          </w:p>
        </w:tc>
        <w:tc>
          <w:tcPr>
            <w:tcW w:type="dxa" w:w="4060"/>
            <w:shd w:fill="1F3A5F" w:color="auto" w:val="clear"/>
            <w:tcMar>
              <w:top w:type="dxa" w:w="60"/>
              <w:left w:type="dxa" w:w="90"/>
              <w:bottom w:type="dxa" w:w="60"/>
              <w:right w:type="dxa" w:w="90"/>
            </w:tcMar>
          </w:tcPr>
          <w:p>
            <w:pPr>
              <w:spacing w:after="0"/>
            </w:pPr>
            <w:r>
              <w:rPr>
                <w:rFonts w:ascii="Calibri" w:cs="Calibri" w:eastAsia="Calibri" w:hAnsi="Calibri"/>
                <w:b/>
                <w:bCs/>
                <w:i w:val="false"/>
                <w:iCs w:val="false"/>
                <w:color w:val="FFFFFF"/>
                <w:sz w:val="18"/>
                <w:szCs w:val="18"/>
              </w:rPr>
              <w:t xml:space="preserve">How to improve — and on what basis</w:t>
            </w:r>
          </w:p>
        </w:tc>
      </w:tr>
      <w:tr>
        <w:tc>
          <w:tcPr>
            <w:tcW w:type="dxa" w:w="2500"/>
            <w:shd w:fill="FFFFFF"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Bounded, evidence-anchored critique structure</w:t>
            </w:r>
          </w:p>
        </w:tc>
        <w:tc>
          <w:tcPr>
            <w:tcW w:type="dxa" w:w="3560"/>
            <w:shd w:fill="FFFFFF"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Verdict / what's right / errors-and-omissions / optional rewrite, with every point [chunk_id]-backed, and a smart effort bound: “if ≤3 sentences would fix it, provide them; else say major rework needed.” Clear and useful.</w:t>
            </w:r>
          </w:p>
        </w:tc>
        <w:tc>
          <w:tcPr>
            <w:tcW w:type="dxa" w:w="3560"/>
            <w:shd w:fill="FFFFFF"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w:t>
            </w:r>
          </w:p>
        </w:tc>
        <w:tc>
          <w:tcPr>
            <w:tcW w:type="dxa" w:w="4060"/>
            <w:shd w:fill="FFFFFF"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Keep the structure.</w:t>
            </w:r>
          </w:p>
        </w:tc>
      </w:tr>
      <w:tr>
        <w:tc>
          <w:tcPr>
            <w:tcW w:type="dxa" w:w="2500"/>
            <w:shd w:fill="F2F5F9"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Restates the core citation rules</w:t>
            </w:r>
          </w:p>
        </w:tc>
        <w:tc>
          <w:tcPr>
            <w:tcW w:type="dxa" w:w="3560"/>
            <w:shd w:fill="F2F5F9"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Local reminders reduce mid-critique drift.</w:t>
            </w:r>
          </w:p>
        </w:tc>
        <w:tc>
          <w:tcPr>
            <w:tcW w:type="dxa" w:w="3560"/>
            <w:shd w:fill="F2F5F9"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The [chunk_id] / “don't call a case supportive unless the holding supports it” rules duplicate the _CORE_* block already in the same composed prompt (same DRY issue flagged in Tranche 1).</w:t>
            </w:r>
          </w:p>
          <w:p>
            <w:pPr>
              <w:spacing w:after="40" w:line="250"/>
            </w:pPr>
            <w:r>
              <w:rPr>
                <w:rFonts w:ascii="Calibri" w:cs="Calibri" w:eastAsia="Calibri" w:hAnsi="Calibri"/>
                <w:b w:val="false"/>
                <w:bCs w:val="false"/>
                <w:i w:val="false"/>
                <w:iCs w:val="false"/>
                <w:sz w:val="17"/>
                <w:szCs w:val="17"/>
              </w:rPr>
              <w:t xml:space="preserve">Why it's a problem: duplication tax + drift risk.</w:t>
            </w:r>
          </w:p>
        </w:tc>
        <w:tc>
          <w:tcPr>
            <w:tcW w:type="dxa" w:w="4060"/>
            <w:shd w:fill="F2F5F9"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Reference the canonical citation block. Basis: single source of truth.</w:t>
            </w:r>
          </w:p>
        </w:tc>
      </w:tr>
    </w:tbl>
    <w:p>
      <w:pPr>
        <w:pStyle w:val="Heading2"/>
        <w:spacing w:after="60" w:before="260"/>
      </w:pPr>
      <w:r>
        <w:rPr>
          <w:rFonts w:ascii="Calibri" w:cs="Calibri" w:eastAsia="Calibri" w:hAnsi="Calibri"/>
          <w:b/>
          <w:bCs/>
          <w:i w:val="false"/>
          <w:iCs w:val="false"/>
          <w:color w:val="1F3A5F"/>
          <w:sz w:val="24"/>
          <w:szCs w:val="24"/>
        </w:rPr>
        <w:t xml:space="preserve">7. format_memory_for_prompt — the cross-session memory block</w:t>
      </w:r>
    </w:p>
    <w:p>
      <w:pPr>
        <w:spacing w:after="60" w:before="0" w:line="264"/>
      </w:pPr>
      <w:r>
        <w:rPr>
          <w:rFonts w:ascii="Calibri" w:cs="Calibri" w:eastAsia="Calibri" w:hAnsi="Calibri"/>
          <w:b/>
          <w:bCs/>
          <w:i w:val="false"/>
          <w:iCs w:val="false"/>
          <w:color w:val="555555"/>
          <w:sz w:val="17"/>
          <w:szCs w:val="17"/>
        </w:rPr>
        <w:t xml:space="preserve">Where: </w:t>
      </w:r>
      <w:r>
        <w:rPr>
          <w:rFonts w:ascii="Calibri" w:cs="Calibri" w:eastAsia="Calibri" w:hAnsi="Calibri"/>
          <w:b w:val="false"/>
          <w:bCs w:val="false"/>
          <w:i/>
          <w:iCs/>
          <w:color w:val="555555"/>
          <w:sz w:val="17"/>
          <w:szCs w:val="17"/>
        </w:rPr>
        <w:t xml:space="preserve">agents/memory.py (~194) — deterministic string builder (zero LLM); injected into the system prompt each turn</w:t>
      </w:r>
    </w:p>
    <w:p>
      <w:pPr>
        <w:spacing w:after="100" w:before="0" w:line="264"/>
      </w:pPr>
      <w:r>
        <w:rPr>
          <w:rFonts w:ascii="Calibri" w:cs="Calibri" w:eastAsia="Calibri" w:hAnsi="Calibri"/>
          <w:b w:val="false"/>
          <w:bCs w:val="false"/>
          <w:i w:val="false"/>
          <w:iCs w:val="false"/>
          <w:sz w:val="18"/>
          <w:szCs w:val="18"/>
        </w:rPr>
        <w:t xml:space="preserve">Turns prior-session summaries into a compact prompt block. No LLM cost of its own; the review is of the injected instruction text and the injection policy.</w:t>
      </w:r>
    </w:p>
    <w:tbl>
      <w:tblPr>
        <w:tblW w:type="dxa" w:w="13680"/>
        <w:tblBorders>
          <w:top w:val="single" w:color="9AA7B4" w:sz="4"/>
          <w:left w:val="single" w:color="9AA7B4" w:sz="4"/>
          <w:bottom w:val="single" w:color="9AA7B4" w:sz="4"/>
          <w:right w:val="single" w:color="9AA7B4" w:sz="4"/>
          <w:insideH w:val="single" w:color="C7D0DA" w:sz="2"/>
          <w:insideV w:val="single" w:color="C7D0DA" w:sz="2"/>
        </w:tblBorders>
      </w:tblPr>
      <w:tblGrid>
        <w:gridCol w:w="2500"/>
        <w:gridCol w:w="3560"/>
        <w:gridCol w:w="3560"/>
        <w:gridCol w:w="4060"/>
      </w:tblGrid>
      <w:tr>
        <w:trPr>
          <w:tblHeader/>
        </w:trPr>
        <w:tc>
          <w:tcPr>
            <w:tcW w:type="dxa" w:w="2500"/>
            <w:shd w:fill="1F3A5F" w:color="auto" w:val="clear"/>
            <w:tcMar>
              <w:top w:type="dxa" w:w="60"/>
              <w:left w:type="dxa" w:w="90"/>
              <w:bottom w:type="dxa" w:w="60"/>
              <w:right w:type="dxa" w:w="90"/>
            </w:tcMar>
          </w:tcPr>
          <w:p>
            <w:pPr>
              <w:spacing w:after="0"/>
            </w:pPr>
            <w:r>
              <w:rPr>
                <w:rFonts w:ascii="Calibri" w:cs="Calibri" w:eastAsia="Calibri" w:hAnsi="Calibri"/>
                <w:b/>
                <w:bCs/>
                <w:i w:val="false"/>
                <w:iCs w:val="false"/>
                <w:color w:val="FFFFFF"/>
                <w:sz w:val="18"/>
                <w:szCs w:val="18"/>
              </w:rPr>
              <w:t xml:space="preserve">Issue (facet of this prompt)</w:t>
            </w:r>
          </w:p>
        </w:tc>
        <w:tc>
          <w:tcPr>
            <w:tcW w:type="dxa" w:w="3560"/>
            <w:shd w:fill="1F3A5F" w:color="auto" w:val="clear"/>
            <w:tcMar>
              <w:top w:type="dxa" w:w="60"/>
              <w:left w:type="dxa" w:w="90"/>
              <w:bottom w:type="dxa" w:w="60"/>
              <w:right w:type="dxa" w:w="90"/>
            </w:tcMar>
          </w:tcPr>
          <w:p>
            <w:pPr>
              <w:spacing w:after="0"/>
            </w:pPr>
            <w:r>
              <w:rPr>
                <w:rFonts w:ascii="Calibri" w:cs="Calibri" w:eastAsia="Calibri" w:hAnsi="Calibri"/>
                <w:b/>
                <w:bCs/>
                <w:i w:val="false"/>
                <w:iCs w:val="false"/>
                <w:color w:val="FFFFFF"/>
                <w:sz w:val="18"/>
                <w:szCs w:val="18"/>
              </w:rPr>
              <w:t xml:space="preserve">What's good — and why</w:t>
            </w:r>
          </w:p>
        </w:tc>
        <w:tc>
          <w:tcPr>
            <w:tcW w:type="dxa" w:w="3560"/>
            <w:shd w:fill="1F3A5F" w:color="auto" w:val="clear"/>
            <w:tcMar>
              <w:top w:type="dxa" w:w="60"/>
              <w:left w:type="dxa" w:w="90"/>
              <w:bottom w:type="dxa" w:w="60"/>
              <w:right w:type="dxa" w:w="90"/>
            </w:tcMar>
          </w:tcPr>
          <w:p>
            <w:pPr>
              <w:spacing w:after="0"/>
            </w:pPr>
            <w:r>
              <w:rPr>
                <w:rFonts w:ascii="Calibri" w:cs="Calibri" w:eastAsia="Calibri" w:hAnsi="Calibri"/>
                <w:b/>
                <w:bCs/>
                <w:i w:val="false"/>
                <w:iCs w:val="false"/>
                <w:color w:val="FFFFFF"/>
                <w:sz w:val="18"/>
                <w:szCs w:val="18"/>
              </w:rPr>
              <w:t xml:space="preserve">What's bad — and why it's a problem</w:t>
            </w:r>
          </w:p>
        </w:tc>
        <w:tc>
          <w:tcPr>
            <w:tcW w:type="dxa" w:w="4060"/>
            <w:shd w:fill="1F3A5F" w:color="auto" w:val="clear"/>
            <w:tcMar>
              <w:top w:type="dxa" w:w="60"/>
              <w:left w:type="dxa" w:w="90"/>
              <w:bottom w:type="dxa" w:w="60"/>
              <w:right w:type="dxa" w:w="90"/>
            </w:tcMar>
          </w:tcPr>
          <w:p>
            <w:pPr>
              <w:spacing w:after="0"/>
            </w:pPr>
            <w:r>
              <w:rPr>
                <w:rFonts w:ascii="Calibri" w:cs="Calibri" w:eastAsia="Calibri" w:hAnsi="Calibri"/>
                <w:b/>
                <w:bCs/>
                <w:i w:val="false"/>
                <w:iCs w:val="false"/>
                <w:color w:val="FFFFFF"/>
                <w:sz w:val="18"/>
                <w:szCs w:val="18"/>
              </w:rPr>
              <w:t xml:space="preserve">How to improve — and on what basis</w:t>
            </w:r>
          </w:p>
        </w:tc>
      </w:tr>
      <w:tr>
        <w:tc>
          <w:tcPr>
            <w:tcW w:type="dxa" w:w="2500"/>
            <w:shd w:fill="FFFFFF"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Zero-LLM, compact, with a privacy guard</w:t>
            </w:r>
          </w:p>
        </w:tc>
        <w:tc>
          <w:tcPr>
            <w:tcW w:type="dxa" w:w="3560"/>
            <w:shd w:fill="FFFFFF"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Pure DB formatting is the cheapest possible memory. The block is compact and includes a sensible guard: “skip questions the client already answered … do NOT reveal session IDs.”</w:t>
            </w:r>
          </w:p>
        </w:tc>
        <w:tc>
          <w:tcPr>
            <w:tcW w:type="dxa" w:w="3560"/>
            <w:shd w:fill="FFFFFF"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w:t>
            </w:r>
          </w:p>
        </w:tc>
        <w:tc>
          <w:tcPr>
            <w:tcW w:type="dxa" w:w="4060"/>
            <w:shd w:fill="FFFFFF"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Keep the zero-cost approach.</w:t>
            </w:r>
          </w:p>
        </w:tc>
      </w:tr>
      <w:tr>
        <w:tc>
          <w:tcPr>
            <w:tcW w:type="dxa" w:w="2500"/>
            <w:shd w:fill="F2F5F9"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Injected every turn regardless of relevance</w:t>
            </w:r>
          </w:p>
        </w:tc>
        <w:tc>
          <w:tcPr>
            <w:tcW w:type="dxa" w:w="3560"/>
            <w:shd w:fill="F2F5F9"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Always-on memory means the model never forgets prior context.</w:t>
            </w:r>
          </w:p>
        </w:tc>
        <w:tc>
          <w:tcPr>
            <w:tcW w:type="dxa" w:w="3560"/>
            <w:shd w:fill="F2F5F9"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The block rides on every turn's system prompt even when the current matter is unrelated to any prior session — input tokens spent on context that may not apply.</w:t>
            </w:r>
          </w:p>
          <w:p>
            <w:pPr>
              <w:spacing w:after="40" w:line="250"/>
            </w:pPr>
            <w:r>
              <w:rPr>
                <w:rFonts w:ascii="Calibri" w:cs="Calibri" w:eastAsia="Calibri" w:hAnsi="Calibri"/>
                <w:b w:val="false"/>
                <w:bCs w:val="false"/>
                <w:i w:val="false"/>
                <w:iCs w:val="false"/>
                <w:sz w:val="17"/>
                <w:szCs w:val="17"/>
              </w:rPr>
              <w:t xml:space="preserve">Why it's a problem: per-turn token cost for frequently-irrelevant context.</w:t>
            </w:r>
          </w:p>
        </w:tc>
        <w:tc>
          <w:tcPr>
            <w:tcW w:type="dxa" w:w="4060"/>
            <w:shd w:fill="F2F5F9"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Inject only when a prior session is topically relevant to the current matter (or only early in a matter, before enough current facts exist). Basis: spend context tokens on context that bears on this turn.</w:t>
            </w:r>
          </w:p>
        </w:tc>
      </w:tr>
      <w:tr>
        <w:tc>
          <w:tcPr>
            <w:tcW w:type="dxa" w:w="2500"/>
            <w:shd w:fill="FFFFFF"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“Skip questions already answered” across DIFFERENT matters</w:t>
            </w:r>
          </w:p>
        </w:tc>
        <w:tc>
          <w:tcPr>
            <w:tcW w:type="dxa" w:w="3560"/>
            <w:shd w:fill="FFFFFF"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Reduces repetitive intake for a returning client on the same matter.</w:t>
            </w:r>
          </w:p>
        </w:tc>
        <w:tc>
          <w:tcPr>
            <w:tcW w:type="dxa" w:w="3560"/>
            <w:shd w:fill="FFFFFF"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Prior-session facts are presented as reusable, but a new session is often a DIFFERENT matter; “skip what they already answered” can make the model assume a stale fact applies to the new matter — a subtle correctness risk on legal facts.</w:t>
            </w:r>
          </w:p>
          <w:p>
            <w:pPr>
              <w:spacing w:after="40" w:line="250"/>
            </w:pPr>
            <w:r>
              <w:rPr>
                <w:rFonts w:ascii="Calibri" w:cs="Calibri" w:eastAsia="Calibri" w:hAnsi="Calibri"/>
                <w:b w:val="false"/>
                <w:bCs w:val="false"/>
                <w:i w:val="false"/>
                <w:iCs w:val="false"/>
                <w:sz w:val="17"/>
                <w:szCs w:val="17"/>
              </w:rPr>
              <w:t xml:space="preserve">Why it's a problem: cross-matter fact bleed.</w:t>
            </w:r>
          </w:p>
        </w:tc>
        <w:tc>
          <w:tcPr>
            <w:tcW w:type="dxa" w:w="4060"/>
            <w:shd w:fill="FFFFFF"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Label prior-session facts as “from a prior matter — confirm before relying,” and only auto-skip within the same matter_id. Basis: memory should inform, not silently import facts across matters.</w:t>
            </w:r>
          </w:p>
        </w:tc>
      </w:tr>
      <w:tr>
        <w:tc>
          <w:tcPr>
            <w:tcW w:type="dxa" w:w="2500"/>
            <w:shd w:fill="F2F5F9"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200-char summary may be too thin</w:t>
            </w:r>
          </w:p>
        </w:tc>
        <w:tc>
          <w:tcPr>
            <w:tcW w:type="dxa" w:w="3560"/>
            <w:shd w:fill="F2F5F9"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Tight truncation keeps the window lean.</w:t>
            </w:r>
          </w:p>
        </w:tc>
        <w:tc>
          <w:tcPr>
            <w:tcW w:type="dxa" w:w="3560"/>
            <w:shd w:fill="F2F5F9"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A 200-char summary of a whole prior session may be too little to actually save a question, undercutting the feature's purpose.</w:t>
            </w:r>
          </w:p>
          <w:p>
            <w:pPr>
              <w:spacing w:after="40" w:line="250"/>
            </w:pPr>
            <w:r>
              <w:rPr>
                <w:rFonts w:ascii="Calibri" w:cs="Calibri" w:eastAsia="Calibri" w:hAnsi="Calibri"/>
                <w:b w:val="false"/>
                <w:bCs w:val="false"/>
                <w:i w:val="false"/>
                <w:iCs w:val="false"/>
                <w:sz w:val="17"/>
                <w:szCs w:val="17"/>
              </w:rPr>
              <w:t xml:space="preserve">Minor: tune-the-knob issue.</w:t>
            </w:r>
          </w:p>
        </w:tc>
        <w:tc>
          <w:tcPr>
            <w:tcW w:type="dxa" w:w="4060"/>
            <w:shd w:fill="F2F5F9"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A/B the summary length against how often it actually lets the model skip a question. Basis: size the summary to its job.</w:t>
            </w:r>
          </w:p>
        </w:tc>
      </w:tr>
    </w:tbl>
    <w:p>
      <w:pPr>
        <w:pStyle w:val="Heading2"/>
        <w:spacing w:after="60" w:before="260"/>
      </w:pPr>
      <w:r>
        <w:rPr>
          <w:rFonts w:ascii="Calibri" w:cs="Calibri" w:eastAsia="Calibri" w:hAnsi="Calibri"/>
          <w:b/>
          <w:bCs/>
          <w:i w:val="false"/>
          <w:iCs w:val="false"/>
          <w:color w:val="1F3A5F"/>
          <w:sz w:val="24"/>
          <w:szCs w:val="24"/>
        </w:rPr>
        <w:t xml:space="preserve">8. _JUDGE_PROMPT — the LLM-as-judge eval rubric (OFFLINE)</w:t>
      </w:r>
    </w:p>
    <w:p>
      <w:pPr>
        <w:spacing w:after="60" w:before="0" w:line="264"/>
      </w:pPr>
      <w:r>
        <w:rPr>
          <w:rFonts w:ascii="Calibri" w:cs="Calibri" w:eastAsia="Calibri" w:hAnsi="Calibri"/>
          <w:b/>
          <w:bCs/>
          <w:i w:val="false"/>
          <w:iCs w:val="false"/>
          <w:color w:val="555555"/>
          <w:sz w:val="17"/>
          <w:szCs w:val="17"/>
        </w:rPr>
        <w:t xml:space="preserve">Where: </w:t>
      </w:r>
      <w:r>
        <w:rPr>
          <w:rFonts w:ascii="Calibri" w:cs="Calibri" w:eastAsia="Calibri" w:hAnsi="Calibri"/>
          <w:b w:val="false"/>
          <w:bCs w:val="false"/>
          <w:i/>
          <w:iCs/>
          <w:color w:val="555555"/>
          <w:sz w:val="17"/>
          <w:szCs w:val="17"/>
        </w:rPr>
        <w:t xml:space="preserve">api/eval_routes.py (~70), POST /eval/judge; called by eval/run_advocate_eval.py &amp; run_behavior_eval.py; gpt-4o</w:t>
      </w:r>
    </w:p>
    <w:p>
      <w:pPr>
        <w:spacing w:after="100" w:before="0" w:line="264"/>
      </w:pPr>
      <w:r>
        <w:rPr>
          <w:rFonts w:ascii="Calibri" w:cs="Calibri" w:eastAsia="Calibri" w:hAnsi="Calibri"/>
          <w:b w:val="false"/>
          <w:bCs w:val="false"/>
          <w:i w:val="false"/>
          <w:iCs w:val="false"/>
          <w:sz w:val="18"/>
          <w:szCs w:val="18"/>
        </w:rPr>
        <w:t xml:space="preserve">The rubric judge that scores consultation behaviour in the eval harness. Not on the runtime path, but it is how quality is measured — so its blind spots become the product's blind spots.</w:t>
      </w:r>
    </w:p>
    <w:tbl>
      <w:tblPr>
        <w:tblW w:type="dxa" w:w="13680"/>
        <w:tblBorders>
          <w:top w:val="single" w:color="9AA7B4" w:sz="4"/>
          <w:left w:val="single" w:color="9AA7B4" w:sz="4"/>
          <w:bottom w:val="single" w:color="9AA7B4" w:sz="4"/>
          <w:right w:val="single" w:color="9AA7B4" w:sz="4"/>
          <w:insideH w:val="single" w:color="C7D0DA" w:sz="2"/>
          <w:insideV w:val="single" w:color="C7D0DA" w:sz="2"/>
        </w:tblBorders>
      </w:tblPr>
      <w:tblGrid>
        <w:gridCol w:w="2500"/>
        <w:gridCol w:w="3560"/>
        <w:gridCol w:w="3560"/>
        <w:gridCol w:w="4060"/>
      </w:tblGrid>
      <w:tr>
        <w:trPr>
          <w:tblHeader/>
        </w:trPr>
        <w:tc>
          <w:tcPr>
            <w:tcW w:type="dxa" w:w="2500"/>
            <w:shd w:fill="1F3A5F" w:color="auto" w:val="clear"/>
            <w:tcMar>
              <w:top w:type="dxa" w:w="60"/>
              <w:left w:type="dxa" w:w="90"/>
              <w:bottom w:type="dxa" w:w="60"/>
              <w:right w:type="dxa" w:w="90"/>
            </w:tcMar>
          </w:tcPr>
          <w:p>
            <w:pPr>
              <w:spacing w:after="0"/>
            </w:pPr>
            <w:r>
              <w:rPr>
                <w:rFonts w:ascii="Calibri" w:cs="Calibri" w:eastAsia="Calibri" w:hAnsi="Calibri"/>
                <w:b/>
                <w:bCs/>
                <w:i w:val="false"/>
                <w:iCs w:val="false"/>
                <w:color w:val="FFFFFF"/>
                <w:sz w:val="18"/>
                <w:szCs w:val="18"/>
              </w:rPr>
              <w:t xml:space="preserve">Issue (facet of this prompt)</w:t>
            </w:r>
          </w:p>
        </w:tc>
        <w:tc>
          <w:tcPr>
            <w:tcW w:type="dxa" w:w="3560"/>
            <w:shd w:fill="1F3A5F" w:color="auto" w:val="clear"/>
            <w:tcMar>
              <w:top w:type="dxa" w:w="60"/>
              <w:left w:type="dxa" w:w="90"/>
              <w:bottom w:type="dxa" w:w="60"/>
              <w:right w:type="dxa" w:w="90"/>
            </w:tcMar>
          </w:tcPr>
          <w:p>
            <w:pPr>
              <w:spacing w:after="0"/>
            </w:pPr>
            <w:r>
              <w:rPr>
                <w:rFonts w:ascii="Calibri" w:cs="Calibri" w:eastAsia="Calibri" w:hAnsi="Calibri"/>
                <w:b/>
                <w:bCs/>
                <w:i w:val="false"/>
                <w:iCs w:val="false"/>
                <w:color w:val="FFFFFF"/>
                <w:sz w:val="18"/>
                <w:szCs w:val="18"/>
              </w:rPr>
              <w:t xml:space="preserve">What's good — and why</w:t>
            </w:r>
          </w:p>
        </w:tc>
        <w:tc>
          <w:tcPr>
            <w:tcW w:type="dxa" w:w="3560"/>
            <w:shd w:fill="1F3A5F" w:color="auto" w:val="clear"/>
            <w:tcMar>
              <w:top w:type="dxa" w:w="60"/>
              <w:left w:type="dxa" w:w="90"/>
              <w:bottom w:type="dxa" w:w="60"/>
              <w:right w:type="dxa" w:w="90"/>
            </w:tcMar>
          </w:tcPr>
          <w:p>
            <w:pPr>
              <w:spacing w:after="0"/>
            </w:pPr>
            <w:r>
              <w:rPr>
                <w:rFonts w:ascii="Calibri" w:cs="Calibri" w:eastAsia="Calibri" w:hAnsi="Calibri"/>
                <w:b/>
                <w:bCs/>
                <w:i w:val="false"/>
                <w:iCs w:val="false"/>
                <w:color w:val="FFFFFF"/>
                <w:sz w:val="18"/>
                <w:szCs w:val="18"/>
              </w:rPr>
              <w:t xml:space="preserve">What's bad — and why it's a problem</w:t>
            </w:r>
          </w:p>
        </w:tc>
        <w:tc>
          <w:tcPr>
            <w:tcW w:type="dxa" w:w="4060"/>
            <w:shd w:fill="1F3A5F" w:color="auto" w:val="clear"/>
            <w:tcMar>
              <w:top w:type="dxa" w:w="60"/>
              <w:left w:type="dxa" w:w="90"/>
              <w:bottom w:type="dxa" w:w="60"/>
              <w:right w:type="dxa" w:w="90"/>
            </w:tcMar>
          </w:tcPr>
          <w:p>
            <w:pPr>
              <w:spacing w:after="0"/>
            </w:pPr>
            <w:r>
              <w:rPr>
                <w:rFonts w:ascii="Calibri" w:cs="Calibri" w:eastAsia="Calibri" w:hAnsi="Calibri"/>
                <w:b/>
                <w:bCs/>
                <w:i w:val="false"/>
                <w:iCs w:val="false"/>
                <w:color w:val="FFFFFF"/>
                <w:sz w:val="18"/>
                <w:szCs w:val="18"/>
              </w:rPr>
              <w:t xml:space="preserve">How to improve — and on what basis</w:t>
            </w:r>
          </w:p>
        </w:tc>
      </w:tr>
      <w:tr>
        <w:tc>
          <w:tcPr>
            <w:tcW w:type="dxa" w:w="2500"/>
            <w:shd w:fill="FFFFFF"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Comprehensive rubric with clean not-applicable handling</w:t>
            </w:r>
          </w:p>
        </w:tc>
        <w:tc>
          <w:tcPr>
            <w:tcW w:type="dxa" w:w="3560"/>
            <w:shd w:fill="FFFFFF"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Nine dimensions + overall, each conditional dimension carries an explicit “n/a → score 1.0” so irrelevant criteria don't penalise a reply, and it returns strict JSON. A well-built eval scaffold.</w:t>
            </w:r>
          </w:p>
        </w:tc>
        <w:tc>
          <w:tcPr>
            <w:tcW w:type="dxa" w:w="3560"/>
            <w:shd w:fill="FFFFFF"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w:t>
            </w:r>
          </w:p>
        </w:tc>
        <w:tc>
          <w:tcPr>
            <w:tcW w:type="dxa" w:w="4060"/>
            <w:shd w:fill="FFFFFF"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Keep the rubric shape.</w:t>
            </w:r>
          </w:p>
        </w:tc>
      </w:tr>
      <w:tr>
        <w:tc>
          <w:tcPr>
            <w:tcW w:type="dxa" w:w="2500"/>
            <w:shd w:fill="F2F5F9"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“grounded” rewards the appearance of grounding, not actual grounding</w:t>
            </w:r>
          </w:p>
        </w:tc>
        <w:tc>
          <w:tcPr>
            <w:tcW w:type="dxa" w:w="3560"/>
            <w:shd w:fill="F2F5F9"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Asking whether the reply cites specific provisions/sources is a reasonable first proxy.</w:t>
            </w:r>
          </w:p>
        </w:tc>
        <w:tc>
          <w:tcPr>
            <w:tcW w:type="dxa" w:w="3560"/>
            <w:shd w:fill="F2F5F9"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The judge scores “grounded” by whether specific provisions/Acts are cited — but a hallucinated-yet-plausible citation satisfies that as easily as a real one, because the judge (same gpt-4o family) doesn't verify the citation against the corpus. A same-family judge shares the generator's blind spots.</w:t>
            </w:r>
          </w:p>
          <w:p>
            <w:pPr>
              <w:spacing w:after="40" w:line="250"/>
            </w:pPr>
            <w:r>
              <w:rPr>
                <w:rFonts w:ascii="Calibri" w:cs="Calibri" w:eastAsia="Calibri" w:hAnsi="Calibri"/>
                <w:b w:val="false"/>
                <w:bCs w:val="false"/>
                <w:i w:val="false"/>
                <w:iCs w:val="false"/>
                <w:sz w:val="17"/>
                <w:szCs w:val="17"/>
              </w:rPr>
              <w:t xml:space="preserve">Why it's a problem: the eval can pass exactly the hallucinated-citation failures the product most needs to catch.</w:t>
            </w:r>
          </w:p>
        </w:tc>
        <w:tc>
          <w:tcPr>
            <w:tcW w:type="dxa" w:w="4060"/>
            <w:shd w:fill="F2F5F9"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Verify citations deterministically against the retrieved chunk_ids (you have them) and feed a hard grounded/ungrounded signal into the score, rather than letting the LLM grade grounding by appearance. Basis: check grounding with code where you can, and reserve the LLM for judgments code can't make.</w:t>
            </w:r>
          </w:p>
        </w:tc>
      </w:tr>
      <w:tr>
        <w:tc>
          <w:tcPr>
            <w:tcW w:type="dxa" w:w="2500"/>
            <w:shd w:fill="FFFFFF"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n/a → 1.0 inflates the overall</w:t>
            </w:r>
          </w:p>
        </w:tc>
        <w:tc>
          <w:tcPr>
            <w:tcW w:type="dxa" w:w="3560"/>
            <w:shd w:fill="FFFFFF"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Defaulting inapplicable dimensions high avoids unfairly penalising a reply.</w:t>
            </w:r>
          </w:p>
        </w:tc>
        <w:tc>
          <w:tcPr>
            <w:tcW w:type="dxa" w:w="3560"/>
            <w:shd w:fill="FFFFFF"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Many dimensions defaulting to 1.0 lifts any average-based overall, so a mediocre reply can post a high composite by accumulating not-applicable 1.0s.</w:t>
            </w:r>
          </w:p>
          <w:p>
            <w:pPr>
              <w:spacing w:after="40" w:line="250"/>
            </w:pPr>
            <w:r>
              <w:rPr>
                <w:rFonts w:ascii="Calibri" w:cs="Calibri" w:eastAsia="Calibri" w:hAnsi="Calibri"/>
                <w:b w:val="false"/>
                <w:bCs w:val="false"/>
                <w:i w:val="false"/>
                <w:iCs w:val="false"/>
                <w:sz w:val="17"/>
                <w:szCs w:val="17"/>
              </w:rPr>
              <w:t xml:space="preserve">Why it's a problem: score inflation obscures real regressions.</w:t>
            </w:r>
          </w:p>
        </w:tc>
        <w:tc>
          <w:tcPr>
            <w:tcW w:type="dxa" w:w="4060"/>
            <w:shd w:fill="FFFFFF"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Compute the overall only over applicable dimensions (or have the model grade overall holistically, ignoring the n/a fills). Basis: don't average in scores that mean “not measured.”</w:t>
            </w:r>
          </w:p>
        </w:tc>
      </w:tr>
      <w:tr>
        <w:tc>
          <w:tcPr>
            <w:tcW w:type="dxa" w:w="2500"/>
            <w:shd w:fill="F2F5F9"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Judge framing says CLIENT while product default is ADVOCATE</w:t>
            </w:r>
          </w:p>
        </w:tc>
        <w:tc>
          <w:tcPr>
            <w:tcW w:type="dxa" w:w="3560"/>
            <w:shd w:fill="F2F5F9"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The client framing suits the client-mode eval scenarios.</w:t>
            </w:r>
          </w:p>
        </w:tc>
        <w:tc>
          <w:tcPr>
            <w:tcW w:type="dxa" w:w="3560"/>
            <w:shd w:fill="F2F5F9"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The rubric frames the output as “a JUNIOR's reply to a CLIENT,” but the product now defaults to advocate mode; grading advocate-register replies against a client-tone rubric misreads register quality.</w:t>
            </w:r>
          </w:p>
          <w:p>
            <w:pPr>
              <w:spacing w:after="40" w:line="250"/>
            </w:pPr>
            <w:r>
              <w:rPr>
                <w:rFonts w:ascii="Calibri" w:cs="Calibri" w:eastAsia="Calibri" w:hAnsi="Calibri"/>
                <w:b w:val="false"/>
                <w:bCs w:val="false"/>
                <w:i w:val="false"/>
                <w:iCs w:val="false"/>
                <w:sz w:val="17"/>
                <w:szCs w:val="17"/>
              </w:rPr>
              <w:t xml:space="preserve">Why it's a problem: audience mismatch skews tone/questions scoring for the default mode.</w:t>
            </w:r>
          </w:p>
        </w:tc>
        <w:tc>
          <w:tcPr>
            <w:tcW w:type="dxa" w:w="4060"/>
            <w:shd w:fill="F2F5F9"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Branch the judge framing on the scenario's audience (advocate vs client), as the scenarios already carry an audience field. Basis: grade against the register the reply is supposed to be in.</w:t>
            </w:r>
          </w:p>
        </w:tc>
      </w:tr>
    </w:tbl>
    <w:p>
      <w:pPr>
        <w:pStyle w:val="Heading2"/>
        <w:spacing w:after="60" w:before="260"/>
      </w:pPr>
      <w:r>
        <w:rPr>
          <w:rFonts w:ascii="Calibri" w:cs="Calibri" w:eastAsia="Calibri" w:hAnsi="Calibri"/>
          <w:b/>
          <w:bCs/>
          <w:i w:val="false"/>
          <w:iCs w:val="false"/>
          <w:color w:val="1F3A5F"/>
          <w:sz w:val="24"/>
          <w:szCs w:val="24"/>
        </w:rPr>
        <w:t xml:space="preserve">9. _REVIEW_PROMPT &amp; _INTAKE_TRAINING_SYSTEM — the offline feedback / training prompts</w:t>
      </w:r>
    </w:p>
    <w:p>
      <w:pPr>
        <w:spacing w:after="60" w:before="0" w:line="264"/>
      </w:pPr>
      <w:r>
        <w:rPr>
          <w:rFonts w:ascii="Calibri" w:cs="Calibri" w:eastAsia="Calibri" w:hAnsi="Calibri"/>
          <w:b/>
          <w:bCs/>
          <w:i w:val="false"/>
          <w:iCs w:val="false"/>
          <w:color w:val="555555"/>
          <w:sz w:val="17"/>
          <w:szCs w:val="17"/>
        </w:rPr>
        <w:t xml:space="preserve">Where: </w:t>
      </w:r>
      <w:r>
        <w:rPr>
          <w:rFonts w:ascii="Calibri" w:cs="Calibri" w:eastAsia="Calibri" w:hAnsi="Calibri"/>
          <w:b w:val="false"/>
          <w:bCs w:val="false"/>
          <w:i/>
          <w:iCs/>
          <w:color w:val="555555"/>
          <w:sz w:val="17"/>
          <w:szCs w:val="17"/>
        </w:rPr>
        <w:t xml:space="preserve">infra/feedback/reviewer.py (~70, golden-rules auditor) and infra/feedback/pipeline.py (~30, training-data system prompt); offline, via admin routes</w:t>
      </w:r>
    </w:p>
    <w:p>
      <w:pPr>
        <w:spacing w:after="100" w:before="0" w:line="264"/>
      </w:pPr>
      <w:r>
        <w:rPr>
          <w:rFonts w:ascii="Calibri" w:cs="Calibri" w:eastAsia="Calibri" w:hAnsi="Calibri"/>
          <w:b w:val="false"/>
          <w:bCs w:val="false"/>
          <w:i w:val="false"/>
          <w:iCs w:val="false"/>
          <w:sz w:val="18"/>
          <w:szCs w:val="18"/>
        </w:rPr>
        <w:t xml:space="preserve">The QA-loop prompts: an auditor that gate-scores responses against golden rules into a spreadsheet, and a distilled intake system prompt for training data.</w:t>
      </w:r>
    </w:p>
    <w:tbl>
      <w:tblPr>
        <w:tblW w:type="dxa" w:w="13680"/>
        <w:tblBorders>
          <w:top w:val="single" w:color="9AA7B4" w:sz="4"/>
          <w:left w:val="single" w:color="9AA7B4" w:sz="4"/>
          <w:bottom w:val="single" w:color="9AA7B4" w:sz="4"/>
          <w:right w:val="single" w:color="9AA7B4" w:sz="4"/>
          <w:insideH w:val="single" w:color="C7D0DA" w:sz="2"/>
          <w:insideV w:val="single" w:color="C7D0DA" w:sz="2"/>
        </w:tblBorders>
      </w:tblPr>
      <w:tblGrid>
        <w:gridCol w:w="2500"/>
        <w:gridCol w:w="3560"/>
        <w:gridCol w:w="3560"/>
        <w:gridCol w:w="4060"/>
      </w:tblGrid>
      <w:tr>
        <w:trPr>
          <w:tblHeader/>
        </w:trPr>
        <w:tc>
          <w:tcPr>
            <w:tcW w:type="dxa" w:w="2500"/>
            <w:shd w:fill="1F3A5F" w:color="auto" w:val="clear"/>
            <w:tcMar>
              <w:top w:type="dxa" w:w="60"/>
              <w:left w:type="dxa" w:w="90"/>
              <w:bottom w:type="dxa" w:w="60"/>
              <w:right w:type="dxa" w:w="90"/>
            </w:tcMar>
          </w:tcPr>
          <w:p>
            <w:pPr>
              <w:spacing w:after="0"/>
            </w:pPr>
            <w:r>
              <w:rPr>
                <w:rFonts w:ascii="Calibri" w:cs="Calibri" w:eastAsia="Calibri" w:hAnsi="Calibri"/>
                <w:b/>
                <w:bCs/>
                <w:i w:val="false"/>
                <w:iCs w:val="false"/>
                <w:color w:val="FFFFFF"/>
                <w:sz w:val="18"/>
                <w:szCs w:val="18"/>
              </w:rPr>
              <w:t xml:space="preserve">Issue (facet of this prompt)</w:t>
            </w:r>
          </w:p>
        </w:tc>
        <w:tc>
          <w:tcPr>
            <w:tcW w:type="dxa" w:w="3560"/>
            <w:shd w:fill="1F3A5F" w:color="auto" w:val="clear"/>
            <w:tcMar>
              <w:top w:type="dxa" w:w="60"/>
              <w:left w:type="dxa" w:w="90"/>
              <w:bottom w:type="dxa" w:w="60"/>
              <w:right w:type="dxa" w:w="90"/>
            </w:tcMar>
          </w:tcPr>
          <w:p>
            <w:pPr>
              <w:spacing w:after="0"/>
            </w:pPr>
            <w:r>
              <w:rPr>
                <w:rFonts w:ascii="Calibri" w:cs="Calibri" w:eastAsia="Calibri" w:hAnsi="Calibri"/>
                <w:b/>
                <w:bCs/>
                <w:i w:val="false"/>
                <w:iCs w:val="false"/>
                <w:color w:val="FFFFFF"/>
                <w:sz w:val="18"/>
                <w:szCs w:val="18"/>
              </w:rPr>
              <w:t xml:space="preserve">What's good — and why</w:t>
            </w:r>
          </w:p>
        </w:tc>
        <w:tc>
          <w:tcPr>
            <w:tcW w:type="dxa" w:w="3560"/>
            <w:shd w:fill="1F3A5F" w:color="auto" w:val="clear"/>
            <w:tcMar>
              <w:top w:type="dxa" w:w="60"/>
              <w:left w:type="dxa" w:w="90"/>
              <w:bottom w:type="dxa" w:w="60"/>
              <w:right w:type="dxa" w:w="90"/>
            </w:tcMar>
          </w:tcPr>
          <w:p>
            <w:pPr>
              <w:spacing w:after="0"/>
            </w:pPr>
            <w:r>
              <w:rPr>
                <w:rFonts w:ascii="Calibri" w:cs="Calibri" w:eastAsia="Calibri" w:hAnsi="Calibri"/>
                <w:b/>
                <w:bCs/>
                <w:i w:val="false"/>
                <w:iCs w:val="false"/>
                <w:color w:val="FFFFFF"/>
                <w:sz w:val="18"/>
                <w:szCs w:val="18"/>
              </w:rPr>
              <w:t xml:space="preserve">What's bad — and why it's a problem</w:t>
            </w:r>
          </w:p>
        </w:tc>
        <w:tc>
          <w:tcPr>
            <w:tcW w:type="dxa" w:w="4060"/>
            <w:shd w:fill="1F3A5F" w:color="auto" w:val="clear"/>
            <w:tcMar>
              <w:top w:type="dxa" w:w="60"/>
              <w:left w:type="dxa" w:w="90"/>
              <w:bottom w:type="dxa" w:w="60"/>
              <w:right w:type="dxa" w:w="90"/>
            </w:tcMar>
          </w:tcPr>
          <w:p>
            <w:pPr>
              <w:spacing w:after="0"/>
            </w:pPr>
            <w:r>
              <w:rPr>
                <w:rFonts w:ascii="Calibri" w:cs="Calibri" w:eastAsia="Calibri" w:hAnsi="Calibri"/>
                <w:b/>
                <w:bCs/>
                <w:i w:val="false"/>
                <w:iCs w:val="false"/>
                <w:color w:val="FFFFFF"/>
                <w:sz w:val="18"/>
                <w:szCs w:val="18"/>
              </w:rPr>
              <w:t xml:space="preserve">How to improve — and on what basis</w:t>
            </w:r>
          </w:p>
        </w:tc>
      </w:tr>
      <w:tr>
        <w:tc>
          <w:tcPr>
            <w:tcW w:type="dxa" w:w="2500"/>
            <w:shd w:fill="FFFFFF"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A real structured QA loop</w:t>
            </w:r>
          </w:p>
        </w:tc>
        <w:tc>
          <w:tcPr>
            <w:tcW w:type="dxa" w:w="3560"/>
            <w:shd w:fill="FFFFFF"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_REVIEW_PROMPT audits against a golden-rules subset and returns a structured verdict (gate_status / rule_violations / corrections / rating) with explicit Pass/Fail/Review thresholds — a genuine, auditable quality gate. _INTAKE_TRAINING_SYSTEM compactly distils the intake philosophy for training data.</w:t>
            </w:r>
          </w:p>
        </w:tc>
        <w:tc>
          <w:tcPr>
            <w:tcW w:type="dxa" w:w="3560"/>
            <w:shd w:fill="FFFFFF"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w:t>
            </w:r>
          </w:p>
        </w:tc>
        <w:tc>
          <w:tcPr>
            <w:tcW w:type="dxa" w:w="4060"/>
            <w:shd w:fill="FFFFFF"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Keep the QA loop.</w:t>
            </w:r>
          </w:p>
        </w:tc>
      </w:tr>
      <w:tr>
        <w:tc>
          <w:tcPr>
            <w:tcW w:type="dxa" w:w="2500"/>
            <w:shd w:fill="F2F5F9"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reviewer bypasses infra.llm — invisible to the usage meter</w:t>
            </w:r>
          </w:p>
        </w:tc>
        <w:tc>
          <w:tcPr>
            <w:tcW w:type="dxa" w:w="3560"/>
            <w:shd w:fill="F2F5F9"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It works standalone, which is handy for an offline admin tool.</w:t>
            </w:r>
          </w:p>
        </w:tc>
        <w:tc>
          <w:tcPr>
            <w:tcW w:type="dxa" w:w="3560"/>
            <w:shd w:fill="F2F5F9"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reviewer._call_llm reads OPENAI_API_KEY directly and constructs its own client, so its tokens are NOT captured by the per-user/usage meter you built, and it doesn't share the retry/SSL config in infra.llm.</w:t>
            </w:r>
          </w:p>
          <w:p>
            <w:pPr>
              <w:spacing w:after="40" w:line="250"/>
            </w:pPr>
            <w:r>
              <w:rPr>
                <w:rFonts w:ascii="Calibri" w:cs="Calibri" w:eastAsia="Calibri" w:hAnsi="Calibri"/>
                <w:b w:val="false"/>
                <w:bCs w:val="false"/>
                <w:i w:val="false"/>
                <w:iCs w:val="false"/>
                <w:sz w:val="17"/>
                <w:szCs w:val="17"/>
              </w:rPr>
              <w:t xml:space="preserve">Why it's a problem: an observability + consistency gap — real spend that the meter never sees, and divergent client behaviour.</w:t>
            </w:r>
          </w:p>
        </w:tc>
        <w:tc>
          <w:tcPr>
            <w:tcW w:type="dxa" w:w="4060"/>
            <w:shd w:fill="F2F5F9"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Route it through infra.llm.call_llm (or get_llm). Basis: one LLM entry point means one place for retries, SSL, and usage accounting.</w:t>
            </w:r>
          </w:p>
        </w:tc>
      </w:tr>
      <w:tr>
        <w:tc>
          <w:tcPr>
            <w:tcW w:type="dxa" w:w="2500"/>
            <w:shd w:fill="FFFFFF"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The intake philosophy is now stated in a THIRD place</w:t>
            </w:r>
          </w:p>
        </w:tc>
        <w:tc>
          <w:tcPr>
            <w:tcW w:type="dxa" w:w="3560"/>
            <w:shd w:fill="FFFFFF"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Having a training-time system prompt aligned to the product's intake style is the right idea.</w:t>
            </w:r>
          </w:p>
        </w:tc>
        <w:tc>
          <w:tcPr>
            <w:tcW w:type="dxa" w:w="3560"/>
            <w:shd w:fill="FFFFFF"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_INTAKE_TRAINING_SYSTEM restates the intake philosophy already expressed in _CONSULT_PROMPT and _STAGE_GUIDANCE (empathy, one high-value question, don't proceed too early, prioritise urgency). Three independently-worded copies drift apart over time, so training data can encode a subtly different behaviour than runtime.</w:t>
            </w:r>
          </w:p>
          <w:p>
            <w:pPr>
              <w:spacing w:after="40" w:line="250"/>
            </w:pPr>
            <w:r>
              <w:rPr>
                <w:rFonts w:ascii="Calibri" w:cs="Calibri" w:eastAsia="Calibri" w:hAnsi="Calibri"/>
                <w:b w:val="false"/>
                <w:bCs w:val="false"/>
                <w:i w:val="false"/>
                <w:iCs w:val="false"/>
                <w:sz w:val="17"/>
                <w:szCs w:val="17"/>
              </w:rPr>
              <w:t xml:space="preserve">Why it's a problem: training/runtime philosophy drift.</w:t>
            </w:r>
          </w:p>
        </w:tc>
        <w:tc>
          <w:tcPr>
            <w:tcW w:type="dxa" w:w="4060"/>
            <w:shd w:fill="FFFFFF" w:color="auto" w:val="clear"/>
            <w:tcMar>
              <w:top w:type="dxa" w:w="60"/>
              <w:left w:type="dxa" w:w="90"/>
              <w:bottom w:type="dxa" w:w="60"/>
              <w:right w:type="dxa" w:w="90"/>
            </w:tcMar>
          </w:tcPr>
          <w:p>
            <w:pPr>
              <w:spacing w:after="40" w:line="250"/>
            </w:pPr>
            <w:r>
              <w:rPr>
                <w:rFonts w:ascii="Calibri" w:cs="Calibri" w:eastAsia="Calibri" w:hAnsi="Calibri"/>
                <w:b w:val="false"/>
                <w:bCs w:val="false"/>
                <w:i w:val="false"/>
                <w:iCs w:val="false"/>
                <w:sz w:val="17"/>
                <w:szCs w:val="17"/>
              </w:rPr>
              <w:t xml:space="preserve">Derive the training system prompt from the same canonical intake block the runtime uses. Basis: train on the behaviour you actually ship.</w:t>
            </w:r>
          </w:p>
        </w:tc>
      </w:tr>
    </w:tbl>
    <w:p>
      <w:pPr>
        <w:pStyle w:val="Heading1"/>
        <w:spacing w:after="60" w:before="260"/>
      </w:pPr>
      <w:r>
        <w:rPr>
          <w:rFonts w:ascii="Calibri" w:cs="Calibri" w:eastAsia="Calibri" w:hAnsi="Calibri"/>
          <w:b/>
          <w:bCs/>
          <w:i w:val="false"/>
          <w:iCs w:val="false"/>
          <w:color w:val="1F3A5F"/>
          <w:sz w:val="28"/>
          <w:szCs w:val="28"/>
        </w:rPr>
        <w:t xml:space="preserve">Cross-cutting observations (Tranche 2)</w:t>
      </w:r>
    </w:p>
    <w:p>
      <w:pPr>
        <w:spacing w:after="70" w:before="0" w:line="264"/>
      </w:pPr>
      <w:r>
        <w:rPr>
          <w:rFonts w:ascii="Calibri" w:cs="Calibri" w:eastAsia="Calibri" w:hAnsi="Calibri"/>
          <w:b/>
          <w:bCs/>
          <w:i w:val="false"/>
          <w:iCs w:val="false"/>
          <w:sz w:val="18"/>
          <w:szCs w:val="18"/>
        </w:rPr>
        <w:t xml:space="preserve">Adopt the tag-and-verify / index pattern product-wide. </w:t>
      </w:r>
      <w:r>
        <w:rPr>
          <w:rFonts w:ascii="Calibri" w:cs="Calibri" w:eastAsia="Calibri" w:hAnsi="Calibri"/>
          <w:b w:val="false"/>
          <w:bCs w:val="false"/>
          <w:i w:val="false"/>
          <w:iCs w:val="false"/>
          <w:sz w:val="18"/>
          <w:szCs w:val="18"/>
        </w:rPr>
        <w:t xml:space="preserve">The drafter's [[fact:]]/[[stat:]]/[[case:]] contract and the LegalInsight index are the two places fabrication is structurally impossible. Consult and memo citations are still model-authored free text — they should move to “model selects an id → code renders the citation → a verifier checks it.”</w:t>
      </w:r>
    </w:p>
    <w:p>
      <w:pPr>
        <w:spacing w:after="70" w:before="0" w:line="264"/>
      </w:pPr>
      <w:r>
        <w:rPr>
          <w:rFonts w:ascii="Calibri" w:cs="Calibri" w:eastAsia="Calibri" w:hAnsi="Calibri"/>
          <w:b/>
          <w:bCs/>
          <w:i w:val="false"/>
          <w:iCs w:val="false"/>
          <w:sz w:val="18"/>
          <w:szCs w:val="18"/>
        </w:rPr>
        <w:t xml:space="preserve">Dead prompt debt is concentrated here. </w:t>
      </w:r>
      <w:r>
        <w:rPr>
          <w:rFonts w:ascii="Calibri" w:cs="Calibri" w:eastAsia="Calibri" w:hAnsi="Calibri"/>
          <w:b w:val="false"/>
          <w:bCs w:val="false"/>
          <w:i w:val="false"/>
          <w:iCs w:val="false"/>
          <w:sz w:val="18"/>
          <w:szCs w:val="18"/>
        </w:rPr>
        <w:t xml:space="preserve">OUTLINE_*/REPAIR_* (drafter) on top of Tranche 1's decomposer / ask_llm / prompts.intake. Dead prompts don't cost runtime tokens but they mislead readers and hide missing wiring (the verifier→repair loop).</w:t>
      </w:r>
    </w:p>
    <w:p>
      <w:pPr>
        <w:spacing w:after="70" w:before="0" w:line="264"/>
      </w:pPr>
      <w:r>
        <w:rPr>
          <w:rFonts w:ascii="Calibri" w:cs="Calibri" w:eastAsia="Calibri" w:hAnsi="Calibri"/>
          <w:b/>
          <w:bCs/>
          <w:i w:val="false"/>
          <w:iCs w:val="false"/>
          <w:sz w:val="18"/>
          <w:szCs w:val="18"/>
        </w:rPr>
        <w:t xml:space="preserve">One concrete contract gap. </w:t>
      </w:r>
      <w:r>
        <w:rPr>
          <w:rFonts w:ascii="Calibri" w:cs="Calibri" w:eastAsia="Calibri" w:hAnsi="Calibri"/>
          <w:b w:val="false"/>
          <w:bCs w:val="false"/>
          <w:i w:val="false"/>
          <w:iCs w:val="false"/>
          <w:sz w:val="18"/>
          <w:szCs w:val="18"/>
        </w:rPr>
        <w:t xml:space="preserve">The section drafter is instructed to emit [[case:&lt;chunk_id&gt;]] from precedent_map, but the outliner builds precedent_map without chunk_id — case grounding for drafts is unenforceable until that field is populated.</w:t>
      </w:r>
    </w:p>
    <w:p>
      <w:pPr>
        <w:spacing w:after="70" w:before="0" w:line="264"/>
      </w:pPr>
      <w:r>
        <w:rPr>
          <w:rFonts w:ascii="Calibri" w:cs="Calibri" w:eastAsia="Calibri" w:hAnsi="Calibri"/>
          <w:b/>
          <w:bCs/>
          <w:i w:val="false"/>
          <w:iCs w:val="false"/>
          <w:sz w:val="18"/>
          <w:szCs w:val="18"/>
        </w:rPr>
        <w:t xml:space="preserve">Observability gap. </w:t>
      </w:r>
      <w:r>
        <w:rPr>
          <w:rFonts w:ascii="Calibri" w:cs="Calibri" w:eastAsia="Calibri" w:hAnsi="Calibri"/>
          <w:b w:val="false"/>
          <w:bCs w:val="false"/>
          <w:i w:val="false"/>
          <w:iCs w:val="false"/>
          <w:sz w:val="18"/>
          <w:szCs w:val="18"/>
        </w:rPr>
        <w:t xml:space="preserve">The offline reviewer bypasses infra.llm, so its spend never reaches the usage meter.</w:t>
      </w:r>
    </w:p>
    <w:p>
      <w:pPr>
        <w:spacing w:after="70" w:before="0" w:line="264"/>
      </w:pPr>
      <w:r>
        <w:rPr>
          <w:rFonts w:ascii="Calibri" w:cs="Calibri" w:eastAsia="Calibri" w:hAnsi="Calibri"/>
          <w:b/>
          <w:bCs/>
          <w:i w:val="false"/>
          <w:iCs w:val="false"/>
          <w:sz w:val="18"/>
          <w:szCs w:val="18"/>
        </w:rPr>
        <w:t xml:space="preserve">Eval measures the form of grounding, not grounding. </w:t>
      </w:r>
      <w:r>
        <w:rPr>
          <w:rFonts w:ascii="Calibri" w:cs="Calibri" w:eastAsia="Calibri" w:hAnsi="Calibri"/>
          <w:b w:val="false"/>
          <w:bCs w:val="false"/>
          <w:i w:val="false"/>
          <w:iCs w:val="false"/>
          <w:sz w:val="18"/>
          <w:szCs w:val="18"/>
        </w:rPr>
        <w:t xml:space="preserve">The judge can pass a hallucinated-but-plausible citation; add deterministic corpus verification to the eval before trusting its “grounded” score.</w:t>
      </w:r>
    </w:p>
    <w:p>
      <w:pPr>
        <w:spacing w:after="60" w:before="140" w:line="264"/>
      </w:pPr>
      <w:r>
        <w:rPr>
          <w:rFonts w:ascii="Calibri" w:cs="Calibri" w:eastAsia="Calibri" w:hAnsi="Calibri"/>
          <w:b/>
          <w:bCs/>
          <w:i w:val="false"/>
          <w:iCs w:val="false"/>
          <w:sz w:val="19"/>
          <w:szCs w:val="19"/>
        </w:rPr>
        <w:t xml:space="preserve">Top 5 highest-leverage changes (Tranche 2):</w:t>
      </w:r>
    </w:p>
    <w:p>
      <w:pPr>
        <w:spacing w:after="50" w:line="264"/>
      </w:pPr>
      <w:r>
        <w:rPr>
          <w:rFonts w:ascii="Calibri" w:cs="Calibri" w:eastAsia="Calibri" w:hAnsi="Calibri"/>
          <w:b w:val="false"/>
          <w:bCs w:val="false"/>
          <w:i w:val="false"/>
          <w:iCs w:val="false"/>
          <w:sz w:val="18"/>
          <w:szCs w:val="18"/>
        </w:rPr>
        <w:t xml:space="preserve">1. Fix the precedent_map chunk_id gap so the [[case:]] drafting contract is actually enforceable (correctness — currently case citations in drafts can't be verified).</w:t>
      </w:r>
    </w:p>
    <w:p>
      <w:pPr>
        <w:spacing w:after="50" w:line="264"/>
      </w:pPr>
      <w:r>
        <w:rPr>
          <w:rFonts w:ascii="Calibri" w:cs="Calibri" w:eastAsia="Calibri" w:hAnsi="Calibri"/>
          <w:b w:val="false"/>
          <w:bCs w:val="false"/>
          <w:i w:val="false"/>
          <w:iCs w:val="false"/>
          <w:sz w:val="18"/>
          <w:szCs w:val="18"/>
        </w:rPr>
        <w:t xml:space="preserve">2. Wire the verifier→REPAIR_* retry (or delete REPAIR_* and state “flag only”) — a verify step without a repair step leaves value on the table.</w:t>
      </w:r>
    </w:p>
    <w:p>
      <w:pPr>
        <w:spacing w:after="50" w:line="264"/>
      </w:pPr>
      <w:r>
        <w:rPr>
          <w:rFonts w:ascii="Calibri" w:cs="Calibri" w:eastAsia="Calibri" w:hAnsi="Calibri"/>
          <w:b w:val="false"/>
          <w:bCs w:val="false"/>
          <w:i w:val="false"/>
          <w:iCs w:val="false"/>
          <w:sz w:val="18"/>
          <w:szCs w:val="18"/>
        </w:rPr>
        <w:t xml:space="preserve">3. Add deterministic citation verification to the eval judge — otherwise the harness can't catch the hallucinated-citation failures that matter most.</w:t>
      </w:r>
    </w:p>
    <w:p>
      <w:pPr>
        <w:spacing w:after="50" w:line="264"/>
      </w:pPr>
      <w:r>
        <w:rPr>
          <w:rFonts w:ascii="Calibri" w:cs="Calibri" w:eastAsia="Calibri" w:hAnsi="Calibri"/>
          <w:b w:val="false"/>
          <w:bCs w:val="false"/>
          <w:i w:val="false"/>
          <w:iCs w:val="false"/>
          <w:sz w:val="18"/>
          <w:szCs w:val="18"/>
        </w:rPr>
        <w:t xml:space="preserve">4. Move the outliner's two extraction prompts to call_structured_llm — remove regex-parse fragility on court-caption data (same upgrade already done for MatterFrame).</w:t>
      </w:r>
    </w:p>
    <w:p>
      <w:pPr>
        <w:spacing w:after="50" w:line="264"/>
      </w:pPr>
      <w:r>
        <w:rPr>
          <w:rFonts w:ascii="Calibri" w:cs="Calibri" w:eastAsia="Calibri" w:hAnsi="Calibri"/>
          <w:b w:val="false"/>
          <w:bCs w:val="false"/>
          <w:i w:val="false"/>
          <w:iCs w:val="false"/>
          <w:sz w:val="18"/>
          <w:szCs w:val="18"/>
        </w:rPr>
        <w:t xml:space="preserve">5. Route the offline reviewer through infra.llm and gate memory injection to relevant sessions — observability + per-turn token savings.</w:t>
      </w:r>
    </w:p>
    <w:p>
      <w:pPr>
        <w:spacing w:after="80" w:before="120" w:line="264"/>
      </w:pPr>
      <w:r>
        <w:rPr>
          <w:rFonts w:ascii="Calibri" w:cs="Calibri" w:eastAsia="Calibri" w:hAnsi="Calibri"/>
          <w:b w:val="false"/>
          <w:bCs w:val="false"/>
          <w:i w:val="false"/>
          <w:iCs w:val="false"/>
          <w:sz w:val="18"/>
          <w:szCs w:val="18"/>
        </w:rPr>
        <w:t xml:space="preserve">With Tranche 1, this completes the prompt surface: the consult hot path, the analysis sub-agents, the drafter, the second-opinion path, memory, and the offline eval/feedback prompts. The remaining non-prompt item worth doing next is the measured per-turn token/₹ cost model (noted in Tranche 1, Appendix B) — it turns the cost findings in both tranches into concrete numbers.</w:t>
      </w:r>
    </w:p>
    <w:sectPr>
      <w:pgSz w:w="12240" w:h="158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40"/>
    </w:pPr>
    <w:rPr>
      <w:rFonts w:ascii="Calibri" w:cs="Calibri" w:eastAsia="Calibri" w:hAnsi="Calibri"/>
      <w:b/>
      <w:bCs/>
      <w:color w:val="1F3A5F"/>
      <w:sz w:val="30"/>
      <w:szCs w:val="30"/>
    </w:rPr>
  </w:style>
  <w:style w:type="paragraph" w:styleId="Heading2">
    <w:name w:val="Heading 2"/>
    <w:basedOn w:val="Normal"/>
    <w:next w:val="Normal"/>
    <w:qFormat/>
    <w:pPr>
      <w:spacing w:after="80" w:before="200"/>
    </w:pPr>
    <w:rPr>
      <w:rFonts w:ascii="Calibri" w:cs="Calibri" w:eastAsia="Calibri" w:hAnsi="Calibri"/>
      <w:b/>
      <w:bCs/>
      <w:color w:val="1F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Nyaymalaw Prompt Audit — Tranche 2</dc:title>
  <dc:creator>Nyaymalaw prompt audit</dc:creator>
  <cp:lastModifiedBy>Un-named</cp:lastModifiedBy>
  <cp:revision>1</cp:revision>
  <dcterms:created xsi:type="dcterms:W3CDTF">2026-07-22T03:46:04.945Z</dcterms:created>
  <dcterms:modified xsi:type="dcterms:W3CDTF">2026-07-22T03:46:04.946Z</dcterms:modified>
</cp:coreProperties>
</file>

<file path=docProps/custom.xml><?xml version="1.0" encoding="utf-8"?>
<Properties xmlns="http://schemas.openxmlformats.org/officeDocument/2006/custom-properties" xmlns:vt="http://schemas.openxmlformats.org/officeDocument/2006/docPropsVTypes"/>
</file>