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01909D">
      <w:pPr>
        <w:jc w:val="center"/>
        <w:rPr>
          <w:rFonts w:hint="eastAsia"/>
          <w:sz w:val="24"/>
          <w:szCs w:val="24"/>
          <w:lang w:val="en-US" w:eastAsia="zh-CN"/>
        </w:rPr>
      </w:pPr>
      <w:r>
        <w:rPr>
          <w:rFonts w:hint="eastAsia"/>
          <w:sz w:val="24"/>
          <w:szCs w:val="24"/>
          <w:lang w:val="en-US" w:eastAsia="zh-CN"/>
        </w:rPr>
        <w:t>数据挖掘第二次互评作业</w:t>
      </w:r>
    </w:p>
    <w:p w14:paraId="6C8D56B8">
      <w:pPr>
        <w:numPr>
          <w:ilvl w:val="0"/>
          <w:numId w:val="1"/>
        </w:numPr>
        <w:jc w:val="both"/>
        <w:rPr>
          <w:rFonts w:hint="eastAsia"/>
          <w:lang w:val="en-US" w:eastAsia="zh-CN"/>
        </w:rPr>
      </w:pPr>
      <w:r>
        <w:rPr>
          <w:rFonts w:hint="eastAsia"/>
          <w:lang w:val="en-US" w:eastAsia="zh-CN"/>
        </w:rPr>
        <w:t>数据预处理</w:t>
      </w:r>
    </w:p>
    <w:p w14:paraId="197F6A11">
      <w:pPr>
        <w:numPr>
          <w:ilvl w:val="0"/>
          <w:numId w:val="0"/>
        </w:numPr>
        <w:ind w:firstLine="420" w:firstLineChars="0"/>
        <w:jc w:val="both"/>
        <w:rPr>
          <w:rFonts w:hint="eastAsia"/>
          <w:lang w:val="en-US" w:eastAsia="zh-CN"/>
        </w:rPr>
      </w:pPr>
      <w:r>
        <w:rPr>
          <w:rFonts w:hint="eastAsia"/>
          <w:lang w:val="en-US" w:eastAsia="zh-CN"/>
        </w:rPr>
        <w:t>对于该任务主要使用到的是之前作业的parquet文件中的</w:t>
      </w:r>
      <w:r>
        <w:rPr>
          <w:rFonts w:hint="default"/>
          <w:lang w:val="en-US" w:eastAsia="zh-CN"/>
        </w:rPr>
        <w:t>’</w:t>
      </w:r>
      <w:r>
        <w:rPr>
          <w:rFonts w:hint="eastAsia"/>
          <w:lang w:val="en-US" w:eastAsia="zh-CN"/>
        </w:rPr>
        <w:t>purchase_history</w:t>
      </w:r>
      <w:r>
        <w:rPr>
          <w:rFonts w:hint="default"/>
          <w:lang w:val="en-US" w:eastAsia="zh-CN"/>
        </w:rPr>
        <w:t>’</w:t>
      </w:r>
      <w:r>
        <w:rPr>
          <w:rFonts w:hint="eastAsia"/>
          <w:lang w:val="en-US" w:eastAsia="zh-CN"/>
        </w:rPr>
        <w:t>字段，这个字段是一个json格式的信息存储，主要包含的内容是平均价格，商品类别，商品id，支付状态，支付方式和购买日期，而我们之后需要用到的内容中的商品价格是由另一个单独的json文件将商品类别，id，价格一一对应的，所以首先需要构建id对类别和价格的唯一映射。</w:t>
      </w:r>
    </w:p>
    <w:p w14:paraId="54969178">
      <w:pPr>
        <w:numPr>
          <w:ilvl w:val="0"/>
          <w:numId w:val="0"/>
        </w:numPr>
        <w:ind w:firstLine="420" w:firstLineChars="0"/>
        <w:jc w:val="both"/>
      </w:pPr>
      <w:r>
        <w:drawing>
          <wp:inline distT="0" distB="0" distL="114300" distR="114300">
            <wp:extent cx="5272405" cy="1152525"/>
            <wp:effectExtent l="0" t="0" r="1079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152525"/>
                    </a:xfrm>
                    <a:prstGeom prst="rect">
                      <a:avLst/>
                    </a:prstGeom>
                    <a:noFill/>
                    <a:ln>
                      <a:noFill/>
                    </a:ln>
                  </pic:spPr>
                </pic:pic>
              </a:graphicData>
            </a:graphic>
          </wp:inline>
        </w:drawing>
      </w:r>
    </w:p>
    <w:p w14:paraId="46E2C71F">
      <w:pPr>
        <w:numPr>
          <w:ilvl w:val="0"/>
          <w:numId w:val="0"/>
        </w:numPr>
        <w:ind w:firstLine="420" w:firstLineChars="0"/>
        <w:jc w:val="both"/>
        <w:rPr>
          <w:rFonts w:hint="default"/>
          <w:lang w:val="en-US" w:eastAsia="zh-CN"/>
        </w:rPr>
      </w:pPr>
      <w:r>
        <w:rPr>
          <w:rFonts w:hint="eastAsia"/>
          <w:lang w:val="en-US" w:eastAsia="zh-CN"/>
        </w:rPr>
        <w:t>另一方面，对于类别而言我们并不需要分析小的具体类别，所以还需要将id所对应到的具体的小类别和另一个大类别进行映射，映射关系由题目所指导。通过简单的对应进行类别归属的映射。</w:t>
      </w:r>
    </w:p>
    <w:p w14:paraId="7AE2CDB2">
      <w:pPr>
        <w:numPr>
          <w:ilvl w:val="0"/>
          <w:numId w:val="0"/>
        </w:numPr>
        <w:ind w:firstLine="420" w:firstLineChars="0"/>
        <w:jc w:val="both"/>
      </w:pPr>
      <w:r>
        <w:drawing>
          <wp:inline distT="0" distB="0" distL="114300" distR="114300">
            <wp:extent cx="5273040" cy="1572260"/>
            <wp:effectExtent l="0" t="0" r="1016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1572260"/>
                    </a:xfrm>
                    <a:prstGeom prst="rect">
                      <a:avLst/>
                    </a:prstGeom>
                    <a:noFill/>
                    <a:ln>
                      <a:noFill/>
                    </a:ln>
                  </pic:spPr>
                </pic:pic>
              </a:graphicData>
            </a:graphic>
          </wp:inline>
        </w:drawing>
      </w:r>
    </w:p>
    <w:p w14:paraId="3957196C">
      <w:pPr>
        <w:numPr>
          <w:ilvl w:val="0"/>
          <w:numId w:val="0"/>
        </w:numPr>
        <w:ind w:firstLine="420" w:firstLineChars="0"/>
        <w:jc w:val="both"/>
      </w:pPr>
      <w:r>
        <w:drawing>
          <wp:inline distT="0" distB="0" distL="114300" distR="114300">
            <wp:extent cx="2743200" cy="37585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43200" cy="3758565"/>
                    </a:xfrm>
                    <a:prstGeom prst="rect">
                      <a:avLst/>
                    </a:prstGeom>
                    <a:noFill/>
                    <a:ln>
                      <a:noFill/>
                    </a:ln>
                  </pic:spPr>
                </pic:pic>
              </a:graphicData>
            </a:graphic>
          </wp:inline>
        </w:drawing>
      </w:r>
    </w:p>
    <w:p w14:paraId="5544DB91">
      <w:pPr>
        <w:numPr>
          <w:ilvl w:val="0"/>
          <w:numId w:val="0"/>
        </w:numPr>
        <w:jc w:val="both"/>
        <w:rPr>
          <w:rFonts w:hint="eastAsia"/>
          <w:lang w:val="en-US" w:eastAsia="zh-CN"/>
        </w:rPr>
      </w:pPr>
    </w:p>
    <w:p w14:paraId="00C05EC4">
      <w:pPr>
        <w:numPr>
          <w:ilvl w:val="0"/>
          <w:numId w:val="0"/>
        </w:numPr>
        <w:jc w:val="both"/>
        <w:rPr>
          <w:rFonts w:hint="eastAsia"/>
          <w:lang w:val="en-US" w:eastAsia="zh-CN"/>
        </w:rPr>
      </w:pPr>
    </w:p>
    <w:p w14:paraId="723C4993">
      <w:pPr>
        <w:numPr>
          <w:ilvl w:val="0"/>
          <w:numId w:val="1"/>
        </w:numPr>
        <w:jc w:val="both"/>
        <w:rPr>
          <w:rFonts w:hint="eastAsia"/>
          <w:lang w:val="en-US" w:eastAsia="zh-CN"/>
        </w:rPr>
      </w:pPr>
      <w:r>
        <w:rPr>
          <w:rFonts w:hint="eastAsia"/>
          <w:lang w:val="en-US" w:eastAsia="zh-CN"/>
        </w:rPr>
        <w:t>商品类别关联规则挖掘</w:t>
      </w:r>
    </w:p>
    <w:p w14:paraId="71F77544">
      <w:pPr>
        <w:numPr>
          <w:ilvl w:val="0"/>
          <w:numId w:val="0"/>
        </w:numPr>
        <w:ind w:firstLine="420" w:firstLineChars="0"/>
        <w:jc w:val="both"/>
        <w:rPr>
          <w:rFonts w:hint="default" w:eastAsiaTheme="minorEastAsia"/>
          <w:lang w:val="en-US" w:eastAsia="zh-CN"/>
        </w:rPr>
      </w:pPr>
      <w:r>
        <w:rPr>
          <w:rFonts w:hint="eastAsia"/>
          <w:lang w:val="en-US" w:eastAsia="zh-CN"/>
        </w:rPr>
        <w:t>为了进行关联规则的挖掘，首先生成事务型的数据，即是每行代表一个订单的商品类别集合的数据，关键步骤是通过流式读取分批次读取文件夹内的大型parquet文件，防止内存溢出，然后通过映射对原始分类进行标准化重映射，最后转化为逗号分割的类别字符串写入csv事务文件。然后是通过fpgrowth算法计算频繁项集，需要注意的是，该算法需要所有事务信息，而直接一次性加载所有事务会导致内存的溢出，因此采用了稀疏矩阵编码的方式，先将事务数据转换为布尔矩阵然后分块加载并且补充稀疏矩阵拼接，成功解决了内存溢出的问题。</w:t>
      </w:r>
    </w:p>
    <w:p w14:paraId="5DDEA030">
      <w:pPr>
        <w:numPr>
          <w:ilvl w:val="0"/>
          <w:numId w:val="0"/>
        </w:numPr>
        <w:ind w:firstLine="420" w:firstLineChars="0"/>
        <w:jc w:val="both"/>
      </w:pPr>
      <w:r>
        <w:drawing>
          <wp:inline distT="0" distB="0" distL="114300" distR="114300">
            <wp:extent cx="3566160" cy="38392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566160" cy="3839210"/>
                    </a:xfrm>
                    <a:prstGeom prst="rect">
                      <a:avLst/>
                    </a:prstGeom>
                    <a:noFill/>
                    <a:ln>
                      <a:noFill/>
                    </a:ln>
                  </pic:spPr>
                </pic:pic>
              </a:graphicData>
            </a:graphic>
          </wp:inline>
        </w:drawing>
      </w:r>
    </w:p>
    <w:p w14:paraId="2A2D9C60">
      <w:pPr>
        <w:numPr>
          <w:ilvl w:val="0"/>
          <w:numId w:val="0"/>
        </w:numPr>
        <w:ind w:firstLine="420" w:firstLineChars="0"/>
        <w:jc w:val="both"/>
        <w:rPr>
          <w:rFonts w:hint="eastAsia"/>
          <w:lang w:val="en-US" w:eastAsia="zh-CN"/>
        </w:rPr>
      </w:pPr>
      <w:r>
        <w:rPr>
          <w:rFonts w:hint="eastAsia"/>
          <w:lang w:val="en-US" w:eastAsia="zh-CN"/>
        </w:rPr>
        <w:t>不过对分析出的结果有一定的疑惑，对于所要求的支持度0.02确实存在不少的频繁项集，但是经过计算并没有找到置信度大于0.5的关联规则，并且尝试验证了置信度大于0.4的关联规则是存在较多的从而验证了算法的正确性，并确定了确实没有大于0.5的关联规则，于是只展现了频繁项集的结果。</w:t>
      </w:r>
    </w:p>
    <w:p w14:paraId="022906A3">
      <w:pPr>
        <w:numPr>
          <w:ilvl w:val="0"/>
          <w:numId w:val="0"/>
        </w:numPr>
        <w:ind w:firstLine="420" w:firstLineChars="0"/>
        <w:jc w:val="both"/>
        <w:rPr>
          <w:rFonts w:hint="default"/>
          <w:lang w:val="en-US" w:eastAsia="zh-CN"/>
        </w:rPr>
      </w:pPr>
      <w:r>
        <w:rPr>
          <w:rFonts w:hint="eastAsia"/>
          <w:lang w:val="en-US" w:eastAsia="zh-CN"/>
        </w:rPr>
        <w:t>降序截取了一部分，其实满足支持度的频繁项集一共也只有58项左右，可能是数据的合理性还不太足够，说明多种类的商品组合的分布较为均匀，出现的频率并不高。</w:t>
      </w:r>
    </w:p>
    <w:p w14:paraId="470538C8">
      <w:pPr>
        <w:numPr>
          <w:ilvl w:val="0"/>
          <w:numId w:val="0"/>
        </w:numPr>
        <w:ind w:firstLine="420" w:firstLineChars="0"/>
        <w:jc w:val="both"/>
        <w:rPr>
          <w:rFonts w:hint="eastAsia"/>
          <w:lang w:val="en-US" w:eastAsia="zh-CN"/>
        </w:rPr>
      </w:pPr>
      <w:r>
        <w:drawing>
          <wp:inline distT="0" distB="0" distL="114300" distR="114300">
            <wp:extent cx="4575175" cy="4725035"/>
            <wp:effectExtent l="0" t="0" r="952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575175" cy="4725035"/>
                    </a:xfrm>
                    <a:prstGeom prst="rect">
                      <a:avLst/>
                    </a:prstGeom>
                    <a:noFill/>
                    <a:ln>
                      <a:noFill/>
                    </a:ln>
                  </pic:spPr>
                </pic:pic>
              </a:graphicData>
            </a:graphic>
          </wp:inline>
        </w:drawing>
      </w:r>
    </w:p>
    <w:p w14:paraId="0E9C5D29">
      <w:pPr>
        <w:numPr>
          <w:ilvl w:val="0"/>
          <w:numId w:val="1"/>
        </w:numPr>
        <w:jc w:val="both"/>
        <w:rPr>
          <w:rFonts w:hint="default"/>
          <w:lang w:val="en-US" w:eastAsia="zh-CN"/>
        </w:rPr>
      </w:pPr>
      <w:r>
        <w:rPr>
          <w:rFonts w:hint="eastAsia"/>
          <w:lang w:val="en-US" w:eastAsia="zh-CN"/>
        </w:rPr>
        <w:t>支付方式与商品类别的关联分析</w:t>
      </w:r>
    </w:p>
    <w:p w14:paraId="600AC1AD">
      <w:pPr>
        <w:numPr>
          <w:ilvl w:val="0"/>
          <w:numId w:val="0"/>
        </w:numPr>
        <w:ind w:firstLine="420" w:firstLineChars="0"/>
        <w:jc w:val="both"/>
        <w:rPr>
          <w:rFonts w:hint="default"/>
          <w:lang w:val="en-US" w:eastAsia="zh-CN"/>
        </w:rPr>
      </w:pPr>
      <w:r>
        <w:rPr>
          <w:rFonts w:hint="eastAsia"/>
          <w:lang w:val="en-US" w:eastAsia="zh-CN"/>
        </w:rPr>
        <w:t>对于预处理部分和事务生成部分基本与上一任务一致就不多赘述，稍微有点差距的部分在于生成csv事务文件的内容格式，每个事务中包含一种支付方式和商品类别组合，然后为了防止内存溢出同样和上一任务一样采用了稀疏矩阵编码的方式，然后是按照要求的数值分析频繁项集和关联规则，遇到了相同的问题，并没有符合要求支持度和置信度的关联规则，同样也小样本降低置信度发现就存在了，但是由于数据量较大没有足够的时间全量样本重新进行关联规则的探索因此也只展示频繁项集的结果。随便从中取出一部分，在代码中没有显示的对这些频繁项集进行有一定要求的筛选，其实最后要从中选出只有一个method然后其他category的频繁项集，经过可视化之后能展示更明显的结果。</w:t>
      </w:r>
    </w:p>
    <w:p w14:paraId="4DC0F363">
      <w:pPr>
        <w:numPr>
          <w:ilvl w:val="0"/>
          <w:numId w:val="0"/>
        </w:numPr>
        <w:ind w:firstLine="420" w:firstLineChars="0"/>
        <w:jc w:val="both"/>
        <w:rPr>
          <w:rFonts w:hint="eastAsia"/>
          <w:lang w:val="en-US" w:eastAsia="zh-CN"/>
        </w:rPr>
      </w:pPr>
      <w:r>
        <w:drawing>
          <wp:inline distT="0" distB="0" distL="114300" distR="114300">
            <wp:extent cx="5262880" cy="2848610"/>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62880" cy="2848610"/>
                    </a:xfrm>
                    <a:prstGeom prst="rect">
                      <a:avLst/>
                    </a:prstGeom>
                    <a:noFill/>
                    <a:ln>
                      <a:noFill/>
                    </a:ln>
                  </pic:spPr>
                </pic:pic>
              </a:graphicData>
            </a:graphic>
          </wp:inline>
        </w:drawing>
      </w:r>
    </w:p>
    <w:p w14:paraId="4CBED275">
      <w:pPr>
        <w:numPr>
          <w:ilvl w:val="0"/>
          <w:numId w:val="0"/>
        </w:numPr>
        <w:ind w:firstLine="420" w:firstLineChars="0"/>
        <w:jc w:val="both"/>
        <w:rPr>
          <w:rFonts w:hint="eastAsia"/>
          <w:lang w:val="en-US" w:eastAsia="zh-CN"/>
        </w:rPr>
      </w:pPr>
      <w:r>
        <w:rPr>
          <w:rFonts w:hint="eastAsia"/>
          <w:lang w:val="en-US" w:eastAsia="zh-CN"/>
        </w:rPr>
        <w:t>然后是分析高价值商品的首选支付方式，这部分直接读取高价值商品的相关事务然后可视化即可，这里采用的简单的降序打印：</w:t>
      </w:r>
    </w:p>
    <w:p w14:paraId="23EFCCF4">
      <w:pPr>
        <w:numPr>
          <w:ilvl w:val="0"/>
          <w:numId w:val="0"/>
        </w:numPr>
        <w:ind w:firstLine="420" w:firstLineChars="0"/>
        <w:jc w:val="both"/>
      </w:pPr>
      <w:r>
        <w:drawing>
          <wp:inline distT="0" distB="0" distL="114300" distR="114300">
            <wp:extent cx="5274310" cy="1902460"/>
            <wp:effectExtent l="0" t="0" r="889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1902460"/>
                    </a:xfrm>
                    <a:prstGeom prst="rect">
                      <a:avLst/>
                    </a:prstGeom>
                    <a:noFill/>
                    <a:ln>
                      <a:noFill/>
                    </a:ln>
                  </pic:spPr>
                </pic:pic>
              </a:graphicData>
            </a:graphic>
          </wp:inline>
        </w:drawing>
      </w:r>
    </w:p>
    <w:p w14:paraId="5769FFD6">
      <w:pPr>
        <w:numPr>
          <w:ilvl w:val="0"/>
          <w:numId w:val="0"/>
        </w:numPr>
        <w:ind w:firstLine="420" w:firstLineChars="0"/>
        <w:jc w:val="both"/>
        <w:rPr>
          <w:rFonts w:hint="default" w:eastAsiaTheme="minorEastAsia"/>
          <w:lang w:val="en-US" w:eastAsia="zh-CN"/>
        </w:rPr>
      </w:pPr>
      <w:r>
        <w:rPr>
          <w:rFonts w:hint="eastAsia"/>
          <w:lang w:val="en-US" w:eastAsia="zh-CN"/>
        </w:rPr>
        <w:t>可以看到基本上在高价值商品支付方式分布中的这七种支付方式的分布较为平均，数量都是比较接近的。</w:t>
      </w:r>
    </w:p>
    <w:p w14:paraId="5AFF381E">
      <w:pPr>
        <w:numPr>
          <w:ilvl w:val="0"/>
          <w:numId w:val="0"/>
        </w:numPr>
        <w:ind w:firstLine="420" w:firstLineChars="0"/>
        <w:jc w:val="both"/>
      </w:pPr>
    </w:p>
    <w:p w14:paraId="27EDCB9B">
      <w:pPr>
        <w:numPr>
          <w:ilvl w:val="0"/>
          <w:numId w:val="0"/>
        </w:numPr>
        <w:ind w:firstLine="420" w:firstLineChars="0"/>
        <w:jc w:val="both"/>
      </w:pPr>
      <w:r>
        <w:drawing>
          <wp:inline distT="0" distB="0" distL="114300" distR="114300">
            <wp:extent cx="3611245" cy="4372610"/>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3611245" cy="4372610"/>
                    </a:xfrm>
                    <a:prstGeom prst="rect">
                      <a:avLst/>
                    </a:prstGeom>
                    <a:noFill/>
                    <a:ln>
                      <a:noFill/>
                    </a:ln>
                  </pic:spPr>
                </pic:pic>
              </a:graphicData>
            </a:graphic>
          </wp:inline>
        </w:drawing>
      </w:r>
    </w:p>
    <w:p w14:paraId="513EBC16">
      <w:pPr>
        <w:numPr>
          <w:ilvl w:val="0"/>
          <w:numId w:val="1"/>
        </w:numPr>
        <w:jc w:val="both"/>
        <w:rPr>
          <w:rFonts w:hint="default"/>
          <w:lang w:val="en-US" w:eastAsia="zh-CN"/>
        </w:rPr>
      </w:pPr>
      <w:r>
        <w:rPr>
          <w:rFonts w:hint="eastAsia"/>
          <w:lang w:val="en-US" w:eastAsia="zh-CN"/>
        </w:rPr>
        <w:t>时间序列模式挖掘</w:t>
      </w:r>
    </w:p>
    <w:p w14:paraId="2C62F534">
      <w:pPr>
        <w:numPr>
          <w:ilvl w:val="0"/>
          <w:numId w:val="0"/>
        </w:numPr>
        <w:ind w:firstLine="420" w:firstLineChars="0"/>
        <w:jc w:val="both"/>
      </w:pPr>
      <w:r>
        <w:rPr>
          <w:rFonts w:hint="eastAsia"/>
          <w:lang w:val="en-US" w:eastAsia="zh-CN"/>
        </w:rPr>
        <w:t>对于时间序列的分析直接采用结构化数据，对于季节性购物模式采用的方法是按照月度进行分析，分析的主要是根据当月总数和当月各品类数量来展示不同物品在不同时间段的销量：</w:t>
      </w:r>
      <w:r>
        <w:drawing>
          <wp:inline distT="0" distB="0" distL="114300" distR="114300">
            <wp:extent cx="4619625" cy="4321810"/>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619625" cy="4321810"/>
                    </a:xfrm>
                    <a:prstGeom prst="rect">
                      <a:avLst/>
                    </a:prstGeom>
                    <a:noFill/>
                    <a:ln>
                      <a:noFill/>
                    </a:ln>
                  </pic:spPr>
                </pic:pic>
              </a:graphicData>
            </a:graphic>
          </wp:inline>
        </w:drawing>
      </w:r>
    </w:p>
    <w:p w14:paraId="581D2235">
      <w:pPr>
        <w:numPr>
          <w:ilvl w:val="0"/>
          <w:numId w:val="0"/>
        </w:numPr>
        <w:ind w:firstLine="420" w:firstLineChars="0"/>
        <w:jc w:val="both"/>
      </w:pPr>
    </w:p>
    <w:p w14:paraId="7A83A5BC">
      <w:pPr>
        <w:numPr>
          <w:ilvl w:val="0"/>
          <w:numId w:val="0"/>
        </w:numPr>
        <w:ind w:firstLine="420" w:firstLineChars="0"/>
        <w:jc w:val="both"/>
      </w:pPr>
      <w:r>
        <w:drawing>
          <wp:inline distT="0" distB="0" distL="114300" distR="114300">
            <wp:extent cx="5654040" cy="2606040"/>
            <wp:effectExtent l="0" t="0" r="10160"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654040" cy="2606040"/>
                    </a:xfrm>
                    <a:prstGeom prst="rect">
                      <a:avLst/>
                    </a:prstGeom>
                    <a:noFill/>
                    <a:ln>
                      <a:noFill/>
                    </a:ln>
                  </pic:spPr>
                </pic:pic>
              </a:graphicData>
            </a:graphic>
          </wp:inline>
        </w:drawing>
      </w:r>
    </w:p>
    <w:p w14:paraId="2EEEEF8B">
      <w:pPr>
        <w:numPr>
          <w:ilvl w:val="0"/>
          <w:numId w:val="0"/>
        </w:numPr>
        <w:ind w:firstLine="420" w:firstLineChars="0"/>
        <w:jc w:val="both"/>
        <w:rPr>
          <w:rFonts w:hint="default" w:eastAsiaTheme="minorEastAsia"/>
          <w:lang w:val="en-US" w:eastAsia="zh-CN"/>
        </w:rPr>
      </w:pPr>
      <w:r>
        <w:rPr>
          <w:rFonts w:hint="eastAsia"/>
          <w:lang w:val="en-US" w:eastAsia="zh-CN"/>
        </w:rPr>
        <w:t>根据结果可以发现服装，食品和电子产品的购买量普遍比家居和玩具高得多，另外就月份而言基本的趋势是一个月购物量高下一个月购物量就会下降，在2025年3月出现了断崖式下降，暂不清楚原因，可能是由于数据本身不足。</w:t>
      </w:r>
    </w:p>
    <w:p w14:paraId="46B9C8AB">
      <w:pPr>
        <w:numPr>
          <w:ilvl w:val="0"/>
          <w:numId w:val="1"/>
        </w:numPr>
        <w:jc w:val="both"/>
        <w:rPr>
          <w:rFonts w:hint="default"/>
          <w:lang w:val="en-US" w:eastAsia="zh-CN"/>
        </w:rPr>
      </w:pPr>
      <w:r>
        <w:rPr>
          <w:rFonts w:hint="eastAsia"/>
          <w:lang w:val="en-US" w:eastAsia="zh-CN"/>
        </w:rPr>
        <w:t>退款模式分析</w:t>
      </w:r>
    </w:p>
    <w:p w14:paraId="5297CD54">
      <w:pPr>
        <w:numPr>
          <w:ilvl w:val="0"/>
          <w:numId w:val="0"/>
        </w:numPr>
        <w:ind w:firstLine="420" w:firstLineChars="0"/>
        <w:jc w:val="both"/>
        <w:rPr>
          <w:rFonts w:hint="default"/>
          <w:lang w:val="en-US" w:eastAsia="zh-CN"/>
        </w:rPr>
      </w:pPr>
      <w:r>
        <w:rPr>
          <w:rFonts w:hint="eastAsia"/>
          <w:lang w:val="en-US" w:eastAsia="zh-CN"/>
        </w:rPr>
        <w:t>最后一个任务是挖掘与退款相关的商品类别的关联规则，同样是同任务1,2一样的完成思路，先生成事务文件，然后分批加载事务文件通过稀疏矩阵防止内存溢出，也同样是在生成的事务格式方面进行一定的修改然后使用fpgrowth算法寻找频繁项集然后寻找关联规则。对于该任务的要求而言能找到很多关联规则，简单展示部分，其余可在csv文件里详细找到。</w:t>
      </w:r>
    </w:p>
    <w:p w14:paraId="67C9BB3B">
      <w:pPr>
        <w:numPr>
          <w:ilvl w:val="0"/>
          <w:numId w:val="0"/>
        </w:numPr>
        <w:jc w:val="both"/>
        <w:rPr>
          <w:rFonts w:hint="default"/>
          <w:lang w:val="en-US" w:eastAsia="zh-CN"/>
        </w:rPr>
      </w:pPr>
      <w:r>
        <w:rPr>
          <w:rFonts w:hint="default"/>
          <w:lang w:val="en-US" w:eastAsia="zh-CN"/>
        </w:rPr>
        <w:drawing>
          <wp:inline distT="0" distB="0" distL="114300" distR="114300">
            <wp:extent cx="5273675" cy="2732405"/>
            <wp:effectExtent l="0" t="0" r="14605" b="10795"/>
            <wp:docPr id="11" name="图片 11" descr="c27883f45af2e8606738f97e2c8a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27883f45af2e8606738f97e2c8a993"/>
                    <pic:cNvPicPr>
                      <a:picLocks noChangeAspect="1"/>
                    </pic:cNvPicPr>
                  </pic:nvPicPr>
                  <pic:blipFill>
                    <a:blip r:embed="rId14"/>
                    <a:stretch>
                      <a:fillRect/>
                    </a:stretch>
                  </pic:blipFill>
                  <pic:spPr>
                    <a:xfrm>
                      <a:off x="0" y="0"/>
                      <a:ext cx="5273675" cy="2732405"/>
                    </a:xfrm>
                    <a:prstGeom prst="rect">
                      <a:avLst/>
                    </a:prstGeom>
                  </pic:spPr>
                </pic:pic>
              </a:graphicData>
            </a:graphic>
          </wp:inline>
        </w:drawing>
      </w:r>
    </w:p>
    <w:p w14:paraId="07826E62">
      <w:pPr>
        <w:numPr>
          <w:ilvl w:val="0"/>
          <w:numId w:val="0"/>
        </w:numPr>
        <w:jc w:val="both"/>
        <w:rPr>
          <w:rFonts w:hint="default"/>
          <w:lang w:val="en-US" w:eastAsia="zh-CN"/>
        </w:rPr>
      </w:pPr>
      <w:r>
        <w:rPr>
          <w:rFonts w:hint="default"/>
          <w:lang w:val="en-US" w:eastAsia="zh-CN"/>
        </w:rPr>
        <w:drawing>
          <wp:inline distT="0" distB="0" distL="114300" distR="114300">
            <wp:extent cx="5274310" cy="2009775"/>
            <wp:effectExtent l="0" t="0" r="13970" b="1905"/>
            <wp:docPr id="12" name="图片 12" descr="b6797acca93356ba751ac669fd45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6797acca93356ba751ac669fd45fe8"/>
                    <pic:cNvPicPr>
                      <a:picLocks noChangeAspect="1"/>
                    </pic:cNvPicPr>
                  </pic:nvPicPr>
                  <pic:blipFill>
                    <a:blip r:embed="rId15"/>
                    <a:stretch>
                      <a:fillRect/>
                    </a:stretch>
                  </pic:blipFill>
                  <pic:spPr>
                    <a:xfrm>
                      <a:off x="0" y="0"/>
                      <a:ext cx="5274310" cy="2009775"/>
                    </a:xfrm>
                    <a:prstGeom prst="rect">
                      <a:avLst/>
                    </a:prstGeom>
                  </pic:spPr>
                </pic:pic>
              </a:graphicData>
            </a:graphic>
          </wp:inline>
        </w:drawing>
      </w:r>
    </w:p>
    <w:p w14:paraId="45E4FCA1">
      <w:pPr>
        <w:numPr>
          <w:ilvl w:val="0"/>
          <w:numId w:val="0"/>
        </w:numPr>
        <w:jc w:val="both"/>
        <w:rPr>
          <w:rFonts w:hint="default"/>
          <w:lang w:val="en-US" w:eastAsia="zh-CN"/>
        </w:rPr>
      </w:pPr>
      <w:r>
        <w:rPr>
          <w:rFonts w:hint="default"/>
          <w:lang w:val="en-US" w:eastAsia="zh-CN"/>
        </w:rPr>
        <w:drawing>
          <wp:inline distT="0" distB="0" distL="114300" distR="114300">
            <wp:extent cx="5272405" cy="2600960"/>
            <wp:effectExtent l="0" t="0" r="635" b="5080"/>
            <wp:docPr id="13" name="图片 13" descr="e31acac75a59eb2220f23f79aa07b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31acac75a59eb2220f23f79aa07b2d"/>
                    <pic:cNvPicPr>
                      <a:picLocks noChangeAspect="1"/>
                    </pic:cNvPicPr>
                  </pic:nvPicPr>
                  <pic:blipFill>
                    <a:blip r:embed="rId16"/>
                    <a:stretch>
                      <a:fillRect/>
                    </a:stretch>
                  </pic:blipFill>
                  <pic:spPr>
                    <a:xfrm>
                      <a:off x="0" y="0"/>
                      <a:ext cx="5272405" cy="2600960"/>
                    </a:xfrm>
                    <a:prstGeom prst="rect">
                      <a:avLst/>
                    </a:prstGeom>
                  </pic:spPr>
                </pic:pic>
              </a:graphicData>
            </a:graphic>
          </wp:inline>
        </w:drawing>
      </w:r>
    </w:p>
    <w:p w14:paraId="2DFF681F">
      <w:pPr>
        <w:numPr>
          <w:ilvl w:val="0"/>
          <w:numId w:val="0"/>
        </w:numPr>
        <w:ind w:firstLine="420" w:firstLineChars="0"/>
        <w:jc w:val="both"/>
        <w:rPr>
          <w:rFonts w:hint="default"/>
          <w:lang w:val="en-US" w:eastAsia="zh-CN"/>
        </w:rPr>
      </w:pPr>
      <w:r>
        <w:rPr>
          <w:rFonts w:hint="eastAsia"/>
          <w:lang w:val="en-US" w:eastAsia="zh-CN"/>
        </w:rPr>
        <w:t>可以看到提升度排行最高的十条规则，主要是以上几种组合退款最常出现。</w:t>
      </w:r>
    </w:p>
    <w:p w14:paraId="49F3756D">
      <w:pPr>
        <w:numPr>
          <w:ilvl w:val="0"/>
          <w:numId w:val="1"/>
        </w:numPr>
        <w:jc w:val="both"/>
        <w:rPr>
          <w:rFonts w:hint="default"/>
          <w:lang w:val="en-US" w:eastAsia="zh-CN"/>
        </w:rPr>
      </w:pPr>
      <w:r>
        <w:rPr>
          <w:rFonts w:hint="eastAsia"/>
          <w:lang w:val="en-US" w:eastAsia="zh-CN"/>
        </w:rPr>
        <w:t>总结</w:t>
      </w:r>
    </w:p>
    <w:p w14:paraId="2E0EFA30">
      <w:pPr>
        <w:numPr>
          <w:ilvl w:val="0"/>
          <w:numId w:val="0"/>
        </w:numPr>
        <w:ind w:firstLine="420" w:firstLineChars="0"/>
        <w:jc w:val="both"/>
        <w:rPr>
          <w:rFonts w:hint="default"/>
          <w:lang w:val="en-US" w:eastAsia="zh-CN"/>
        </w:rPr>
      </w:pPr>
      <w:r>
        <w:rPr>
          <w:rFonts w:hint="eastAsia"/>
          <w:lang w:val="en-US" w:eastAsia="zh-CN"/>
        </w:rPr>
        <w:t>通过这次作业了解了什么是频繁项集和关联规则，主要学习到的内容是如何处理内存溢出问题，对于如此大的数据将其加载进内存需要通过分块再组合的方式尽可能节省内存的消耗，并且对于数据的一些格式化处理技巧也得到了加强，主要的问题在于对于很多应该保存的关键分析数据没有进行保存导致在处理大量数据失败后还需要耗费大量的时间重新处理，延长了作业的时间，导致时间略有不足</w:t>
      </w:r>
      <w:bookmarkStart w:id="0" w:name="_GoBack"/>
      <w:bookmarkEnd w:id="0"/>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8CA8AB1"/>
    <w:multiLevelType w:val="singleLevel"/>
    <w:tmpl w:val="68CA8AB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B17EF5"/>
    <w:rsid w:val="2B234B48"/>
    <w:rsid w:val="2E2A0A7B"/>
    <w:rsid w:val="2F5E7C03"/>
    <w:rsid w:val="44BA68B5"/>
    <w:rsid w:val="5E501E08"/>
    <w:rsid w:val="781B252D"/>
    <w:rsid w:val="7A890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1635</Words>
  <Characters>1721</Characters>
  <Lines>0</Lines>
  <Paragraphs>0</Paragraphs>
  <TotalTime>69</TotalTime>
  <ScaleCrop>false</ScaleCrop>
  <LinksUpToDate>false</LinksUpToDate>
  <CharactersWithSpaces>1721</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2025-05-19T01:12:00Z</dcterms:created>
  <dc:creator>Administrator</dc:creator>
  <cp:lastModifiedBy>z猪</cp:lastModifiedBy>
  <dcterms:modified xsi:type="dcterms:W3CDTF">2025-05-19T14:23:56Z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eyJoZGlkIjoiZDA1MjJhYTAyMjQyMzU2MmRlYTA5MWExY2ZhNGQyOTkiLCJ1c2VySWQiOiIxMDU3MzkwODM0In0=</vt:lpwstr>
  </property>
  <property fmtid="{D5CDD505-2E9C-101B-9397-08002B2CF9AE}" pid="4" name="ICV">
    <vt:lpwstr>4A9F0D3645AD436D90222A4B3911B272_13</vt:lpwstr>
  </property>
</Properties>
</file>