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游ゴシック" w:hAnsi="游ゴシック" w:eastAsia="游ゴシック"/>
          <w:b/>
          <w:sz w:val="32"/>
        </w:rPr>
        <w:t>中間発表 4-5 制御則（FB関数）検討メモ v1</w:t>
      </w:r>
    </w:p>
    <w:p>
      <w:pPr>
        <w:spacing w:before="0" w:after="20"/>
      </w:pPr>
      <w:r>
        <w:rPr>
          <w:rFonts w:ascii="游ゴシック" w:hAnsi="游ゴシック" w:eastAsia="游ゴシック"/>
          <w:b w:val="0"/>
          <w:color w:val="595959"/>
          <w:sz w:val="21"/>
        </w:rPr>
        <w:t>目的：FBロジックの中身を詰め、本編スライド 4-5 の記述を確定する（ディスカッション用）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根拠コード：worklog/2026_semester_S/260610/frfr_model_260610_v1.m（260608と同一モデル）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6"/>
        </w:rPr>
        <w:t>1. プラントモデルと状態方程式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・FRFR φ ＝ 2台の立ち上がりエッジ間の位相差 [ns]（0–100 ns で周期ラップ）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・制御電圧 u が一方のOCXOの発振周波数を動かし、周波数差 Δf が φ の時間変化となる（位相は周波数の積分）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・連続時間モデル：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dφ/dt = Δf ,    Δf = K · (u − u0)        （u0：動作点 1.54 V）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 xml:space="preserve">  ⇒  G(s) = Φ(s)/U(s) = K / s            （積分系）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 xml:space="preserve">  K ≈ 860 ns/(V·s)   … 260605 最小ステップ応答で同定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・離散モデル（コードの扱い）：周波数差を動作点からの整数LSB段数 N で表す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 = g_LSB · N ,    g_LSB ≈ 0.26 ns/s / LSB ,    1 LSB ≈ 305 µV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（g_LSB / lsb_V ≈ 0.26 / 305e-6 ≈ 853 ≒ K）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・状態ベクトル：x = [ e ; df ]（位相誤差・周波数誤差）の2状態として扱う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6"/>
        </w:rPr>
        <w:t>2. 観測と前処理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・位相誤差：e = target_adjusted − FRFR_unwrapped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目標 target_adjusted は初回に、指定値（25 ns）に最も近い等価点へ自動調整（周期100 nsの折り返しを考慮）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・周波数誤差：df = (FRFR_unw − 前回値) / Ts、さらに EMA で平滑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df_s ← ema · df_s + (1 − ema) · df        （ema = 0.5, Ts = 1.0 s）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・アンラップ：前回比 50 ns 超のジャンプを検出し ±100 ns 補正（0–100 ns ラップの解消）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6"/>
        </w:rPr>
        <w:t>3. 制御則（逆モデル, frfr_model_260610_v1）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・① 望ましい周波数補正を位相誤差から決める（比例）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df_des = clamp( Kp_e · e , −df_max , +df_max )       （df_max = 1.5 ns/s）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・② 逆モデルで必要なLSB段数に換算（現在の周波数誤差 df_s を差し引く前置補償）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dN = round( clamp( (df_des − df_s) / g_LSB , −dN_max , +dN_max ) )   （dN_max = 4）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・③ 電圧を更新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u ← clamp( u + dN · lsb_V , 0 , 5 V )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（HOLD区間では dN = 0、u は固定）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・round() による量子化デッドバンドが要点：補正が 1 LSB 未満のときは電圧を動かさない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「必要なときだけ最小限動かす」＝同期に伴う短期の位相雑音を持ち込まない（静音同期）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比例・微分制御は過剰な電圧操作で短期雑音を生む点と対比（260604で実測）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・安全装置：df_max（周波数補正の上限）／dN_max（レートリミット）／clamp（電圧範囲 0–5 V）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・主パラメータ：Kp_e（追従ゲイン, 0.02–0.08 を掃引し 0.08 採用）, df_max=1.5, dN_max=4, ema=0.5, Ts=1.0, nOS=3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6"/>
        </w:rPr>
        <w:t>4. 実コード抜粋（制御則の中核, frfr_model_260610_v1.m）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% ---- 周波数誤差 df ＋ EMA平滑 ----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   = (frfr_unw - prev_frfr_unwrapped) / Ts;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df_s = ema*df_s + (1-ema)*df;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% ---- 位相誤差 ----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e = target_adjusted - frfr_unw;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 xml:space="preserve"> 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% ---- 制御則（逆モデル）----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df_des = clamp(Kp_e * e, -df_max, df_max);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dN_f   = (df_des - df_s) / g_LSB;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dN     = round(clamp(dN_f, -dN_max, dN_max));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du     = dN * lsb_V;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u_next = clamp(u_applied + du, v_min, v_max);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6"/>
        </w:rPr>
        <w:t>5. 「状態空間」としての整理（議論の出発点）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・プラントは積分系 G(s)=K/s。状態を x=[e; df] とすると、離散時間で次の形に整理できる：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e[k+1]  = e[k] − Ts · df[k]            （位相誤差は周波数誤差の積分）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df[k]   ≈ g_LSB · N[k]                 （周波数誤差は累積LSB段数に比例）</w:t>
      </w:r>
    </w:p>
    <w:p>
      <w:pPr>
        <w:spacing w:before="0" w:after="0"/>
        <w:ind w:left="200"/>
        <w:shd w:val="clear" w:color="auto" w:fill="F4F4F2"/>
      </w:pPr>
      <w:r>
        <w:rPr>
          <w:rFonts w:ascii="Consolas" w:hAnsi="Consolas" w:eastAsia="Consolas"/>
          <w:b w:val="0"/>
          <w:color w:val="202020"/>
          <w:sz w:val="18"/>
        </w:rPr>
        <w:t>u[k]    = u[k−1] + dN[k] · lsb_V       （操作量）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・現状の制御則は『位相誤差 e の比例（→目標周波数 df_des）＋ 逆モデルで電圧へ換算』という構造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20"/>
        </w:rPr>
        <w:t>－ 厳密な状態フィードバック u = −K_sf · x（K_sf=[k_e, k_df]）と、現状の逆モデル＋P制御の対応関係を明確にしたい</w:t>
      </w:r>
    </w:p>
    <w:p>
      <w:pPr>
        <w:spacing w:before="200" w:after="60"/>
      </w:pPr>
      <w:r>
        <w:rPr>
          <w:rFonts w:ascii="游ゴシック" w:hAnsi="游ゴシック" w:eastAsia="游ゴシック"/>
          <w:b/>
          <w:color w:val="1B2A5A"/>
          <w:sz w:val="26"/>
        </w:rPr>
        <w:t>6. ディスカッション論点（▼ 要相談）</w:t>
      </w:r>
    </w:p>
    <w:p>
      <w:pPr>
        <w:spacing w:before="4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発表での呼称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・これを「状態空間フィードバック」と呼ぶか、「逆モデル＋比例制御」と呼ぶか。学術的に正確な表現は？</w:t>
      </w:r>
    </w:p>
    <w:p>
      <w:pPr>
        <w:spacing w:before="4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定式化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・2状態 x=[e; df] の状態方程式 A,B,C を明示し、極配置／ゲイン選定として示すか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・df_s（平滑周波数誤差）の前置補償を、状態FBの一部としてどう位置づけるか</w:t>
      </w:r>
    </w:p>
    <w:p>
      <w:pPr>
        <w:spacing w:before="4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パラメータの根拠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・Kp_e=0.08 採用の根拠（掃引 0.02/0.04/0.08 の比較から）をどこまで定量で示すか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・デッドバンド効果（電圧移動量・LSB操作回数の減少）を数値で添えるか</w:t>
      </w:r>
    </w:p>
    <w:p>
      <w:pPr>
        <w:spacing w:before="40" w:after="40"/>
      </w:pPr>
      <w:r>
        <w:rPr>
          <w:rFonts w:ascii="游ゴシック" w:hAnsi="游ゴシック" w:eastAsia="游ゴシック"/>
          <w:b/>
          <w:color w:val="B03010"/>
          <w:sz w:val="21"/>
        </w:rPr>
        <w:t>▼ Phase 1 との関係</w:t>
      </w:r>
    </w:p>
    <w:p>
      <w:pPr>
        <w:spacing w:before="0" w:after="40"/>
      </w:pPr>
      <w:r>
        <w:rPr>
          <w:rFonts w:ascii="游ゴシック" w:hAnsi="游ゴシック" w:eastAsia="游ゴシック"/>
          <w:b w:val="0"/>
          <w:sz w:val="21"/>
        </w:rPr>
        <w:t>・Phase 1 の積分型 u[k]=u[k−1]−Kp·freq_err と、本逆モデル則の連続性をどう説明するか</w:t>
      </w:r>
    </w:p>
    <w:p>
      <w:pPr>
        <w:spacing w:before="0" w:after="80"/>
      </w:pPr>
    </w:p>
    <w:p>
      <w:pPr>
        <w:spacing w:before="0" w:after="40"/>
      </w:pPr>
      <w:r>
        <w:rPr>
          <w:rFonts w:ascii="游ゴシック" w:hAnsi="游ゴシック" w:eastAsia="游ゴシック"/>
          <w:b w:val="0"/>
          <w:color w:val="595959"/>
          <w:sz w:val="18"/>
        </w:rPr>
        <w:t>※ 本メモは本編スライド 4-5 の素材。ディスカッションで確定した要点のみを設計書／スライドへ反映する。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