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A21" w14:textId="72926909" w:rsidR="006369F5" w:rsidRDefault="006369F5"/>
    <w:tbl>
      <w:tblPr>
        <w:tblStyle w:val="a3"/>
        <w:tblW w:w="0" w:type="auto"/>
        <w:tblLook w:val="04A0" w:firstRow="1" w:lastRow="0" w:firstColumn="1" w:lastColumn="0" w:noHBand="0" w:noVBand="1"/>
      </w:tblPr>
      <w:tblGrid>
        <w:gridCol w:w="2074"/>
        <w:gridCol w:w="2074"/>
        <w:gridCol w:w="2074"/>
        <w:gridCol w:w="2074"/>
      </w:tblGrid>
      <w:tr w:rsidR="006369F5" w14:paraId="59162486" w14:textId="77777777" w:rsidTr="006369F5">
        <w:tc>
          <w:tcPr>
            <w:tcW w:w="8296" w:type="dxa"/>
            <w:gridSpan w:val="4"/>
            <w:shd w:val="clear" w:color="auto" w:fill="7B7B7B" w:themeFill="accent3" w:themeFillShade="BF"/>
          </w:tcPr>
          <w:p w14:paraId="720230C7" w14:textId="3A0C210E" w:rsidR="006369F5" w:rsidRDefault="00622CFD" w:rsidP="00622CFD">
            <w:pPr>
              <w:jc w:val="center"/>
            </w:pPr>
            <w:r w:rsidRPr="00622CFD">
              <w:rPr>
                <w:rFonts w:ascii="標楷體" w:eastAsia="標楷體" w:hAnsi="標楷體" w:hint="eastAsia"/>
                <w:color w:val="FFFFFF" w:themeColor="background1"/>
                <w:sz w:val="28"/>
              </w:rPr>
              <w:t>歐股</w:t>
            </w:r>
          </w:p>
        </w:tc>
      </w:tr>
      <w:tr w:rsidR="007855D1" w14:paraId="6F9D7DFC" w14:textId="77777777" w:rsidTr="004556A7">
        <w:tc>
          <w:tcPr>
            <w:tcW w:w="8296" w:type="dxa"/>
            <w:gridSpan w:val="4"/>
          </w:tcPr>
          <w:p w14:paraId="0145D8DE" w14:textId="52FB95C2" w:rsidR="007855D1" w:rsidRPr="005F2527" w:rsidRDefault="007855D1" w:rsidP="005F2527">
            <w:pPr>
              <w:jc w:val="center"/>
              <w:rPr>
                <w:rFonts w:ascii="標楷體" w:eastAsia="標楷體" w:hAnsi="標楷體"/>
                <w:color w:val="000000" w:themeColor="text1"/>
                <w:sz w:val="28"/>
              </w:rPr>
            </w:pPr>
            <w:hyperlink r:id="rId6" w:tgtFrame="_blank" w:history="1">
              <w:r w:rsidRPr="005F2527">
                <w:rPr>
                  <w:rFonts w:ascii="標楷體" w:eastAsia="標楷體" w:hAnsi="標楷體"/>
                  <w:color w:val="000000" w:themeColor="text1"/>
                  <w:sz w:val="28"/>
                </w:rPr>
                <w:t>德國指數</w:t>
              </w:r>
            </w:hyperlink>
            <w:r>
              <w:rPr>
                <w:rFonts w:ascii="標楷體" w:eastAsia="標楷體" w:hAnsi="標楷體" w:hint="eastAsia"/>
                <w:color w:val="000000" w:themeColor="text1"/>
                <w:sz w:val="28"/>
              </w:rPr>
              <w:t>DAX</w:t>
            </w:r>
            <w:r>
              <w:rPr>
                <w:rFonts w:ascii="標楷體" w:eastAsia="標楷體" w:hAnsi="標楷體"/>
                <w:color w:val="000000" w:themeColor="text1"/>
                <w:sz w:val="28"/>
              </w:rPr>
              <w:t>30</w:t>
            </w:r>
          </w:p>
        </w:tc>
      </w:tr>
      <w:tr w:rsidR="004B64FD" w14:paraId="29ADFB5C" w14:textId="77777777" w:rsidTr="004B64FD">
        <w:tc>
          <w:tcPr>
            <w:tcW w:w="2074" w:type="dxa"/>
          </w:tcPr>
          <w:p w14:paraId="2EB4E0F5" w14:textId="3D642CBC" w:rsidR="004B64FD" w:rsidRPr="00023DD4" w:rsidRDefault="004B64FD" w:rsidP="00023DD4">
            <w:pPr>
              <w:pStyle w:val="a6"/>
              <w:rPr>
                <w:rFonts w:ascii="標楷體" w:eastAsia="標楷體" w:hAnsi="標楷體"/>
              </w:rPr>
            </w:pPr>
            <w:r w:rsidRPr="00023DD4">
              <w:rPr>
                <w:rFonts w:ascii="標楷體" w:eastAsia="標楷體" w:hAnsi="標楷體" w:hint="eastAsia"/>
              </w:rPr>
              <w:t>2018年中美貿易衝突</w:t>
            </w:r>
          </w:p>
        </w:tc>
        <w:tc>
          <w:tcPr>
            <w:tcW w:w="2074" w:type="dxa"/>
          </w:tcPr>
          <w:p w14:paraId="6C26D797" w14:textId="41D052BA" w:rsidR="004B64FD" w:rsidRPr="00023DD4" w:rsidRDefault="004B64FD" w:rsidP="00023DD4">
            <w:pPr>
              <w:pStyle w:val="a6"/>
              <w:rPr>
                <w:rFonts w:ascii="標楷體" w:eastAsia="標楷體" w:hAnsi="標楷體"/>
              </w:rPr>
            </w:pPr>
            <w:r w:rsidRPr="00023DD4">
              <w:rPr>
                <w:rFonts w:ascii="標楷體" w:eastAsia="標楷體" w:hAnsi="標楷體"/>
              </w:rPr>
              <w:t>從 200</w:t>
            </w:r>
            <w:r w:rsidR="00273969">
              <w:rPr>
                <w:rFonts w:ascii="標楷體" w:eastAsia="標楷體" w:hAnsi="標楷體"/>
              </w:rPr>
              <w:t>8</w:t>
            </w:r>
            <w:r w:rsidRPr="00023DD4">
              <w:rPr>
                <w:rFonts w:ascii="標楷體" w:eastAsia="標楷體" w:hAnsi="標楷體"/>
              </w:rPr>
              <w:t xml:space="preserve"> 年</w:t>
            </w:r>
            <w:proofErr w:type="gramStart"/>
            <w:r w:rsidRPr="00023DD4">
              <w:rPr>
                <w:rFonts w:ascii="標楷體" w:eastAsia="標楷體" w:hAnsi="標楷體"/>
              </w:rPr>
              <w:t>次貸</w:t>
            </w:r>
            <w:proofErr w:type="gramEnd"/>
            <w:r w:rsidRPr="00023DD4">
              <w:rPr>
                <w:rFonts w:ascii="標楷體" w:eastAsia="標楷體" w:hAnsi="標楷體"/>
              </w:rPr>
              <w:t>風暴</w:t>
            </w:r>
          </w:p>
        </w:tc>
        <w:tc>
          <w:tcPr>
            <w:tcW w:w="2074" w:type="dxa"/>
          </w:tcPr>
          <w:p w14:paraId="2929ABBA" w14:textId="238FAE73" w:rsidR="004B64FD" w:rsidRPr="00023DD4" w:rsidRDefault="004B64FD" w:rsidP="00023DD4">
            <w:pPr>
              <w:pStyle w:val="a6"/>
              <w:rPr>
                <w:rFonts w:ascii="標楷體" w:eastAsia="標楷體" w:hAnsi="標楷體"/>
              </w:rPr>
            </w:pPr>
            <w:proofErr w:type="gramStart"/>
            <w:r w:rsidRPr="00023DD4">
              <w:rPr>
                <w:rFonts w:ascii="標楷體" w:eastAsia="標楷體" w:hAnsi="標楷體" w:hint="eastAsia"/>
              </w:rPr>
              <w:t>英國脫歐</w:t>
            </w:r>
            <w:proofErr w:type="gramEnd"/>
          </w:p>
        </w:tc>
        <w:tc>
          <w:tcPr>
            <w:tcW w:w="2074" w:type="dxa"/>
          </w:tcPr>
          <w:p w14:paraId="2F5D6A71" w14:textId="77777777" w:rsidR="004B64FD" w:rsidRPr="00023DD4" w:rsidRDefault="004B64FD" w:rsidP="00023DD4">
            <w:pPr>
              <w:pStyle w:val="a6"/>
              <w:rPr>
                <w:rFonts w:ascii="標楷體" w:eastAsia="標楷體" w:hAnsi="標楷體"/>
              </w:rPr>
            </w:pPr>
            <w:r w:rsidRPr="00023DD4">
              <w:rPr>
                <w:rFonts w:ascii="標楷體" w:eastAsia="標楷體" w:hAnsi="標楷體"/>
              </w:rPr>
              <w:t>2011年7月，</w:t>
            </w:r>
            <w:proofErr w:type="gramStart"/>
            <w:r w:rsidRPr="00023DD4">
              <w:rPr>
                <w:rFonts w:ascii="標楷體" w:eastAsia="標楷體" w:hAnsi="標楷體"/>
              </w:rPr>
              <w:t>歐債危機</w:t>
            </w:r>
            <w:proofErr w:type="gramEnd"/>
          </w:p>
          <w:p w14:paraId="3EADB964" w14:textId="77777777" w:rsidR="004B64FD" w:rsidRPr="00023DD4" w:rsidRDefault="004B64FD" w:rsidP="00023DD4">
            <w:pPr>
              <w:pStyle w:val="a6"/>
              <w:rPr>
                <w:rFonts w:ascii="標楷體" w:eastAsia="標楷體" w:hAnsi="標楷體"/>
              </w:rPr>
            </w:pPr>
          </w:p>
        </w:tc>
      </w:tr>
      <w:tr w:rsidR="00273969" w14:paraId="2B7B9F28" w14:textId="77777777" w:rsidTr="004B64FD">
        <w:tc>
          <w:tcPr>
            <w:tcW w:w="2074" w:type="dxa"/>
          </w:tcPr>
          <w:p w14:paraId="02CC06CE" w14:textId="77777777" w:rsidR="00356B98" w:rsidRPr="00AC06EC" w:rsidRDefault="00356B98" w:rsidP="00356B98">
            <w:pPr>
              <w:pStyle w:val="a6"/>
              <w:rPr>
                <w:rFonts w:ascii="標楷體" w:eastAsia="標楷體" w:hAnsi="標楷體" w:hint="eastAsia"/>
              </w:rPr>
            </w:pPr>
            <w:r w:rsidRPr="00AC06EC">
              <w:rPr>
                <w:rFonts w:ascii="標楷體" w:eastAsia="標楷體" w:hAnsi="標楷體" w:hint="eastAsia"/>
              </w:rPr>
              <w:t>美國總統川普說，他將於下個月</w:t>
            </w:r>
            <w:r>
              <w:rPr>
                <w:rFonts w:ascii="標楷體" w:eastAsia="標楷體" w:hAnsi="標楷體" w:hint="eastAsia"/>
              </w:rPr>
              <w:t>2</w:t>
            </w:r>
            <w:r>
              <w:rPr>
                <w:rFonts w:ascii="標楷體" w:eastAsia="標楷體" w:hAnsi="標楷體"/>
              </w:rPr>
              <w:t>019</w:t>
            </w:r>
            <w:r>
              <w:rPr>
                <w:rFonts w:ascii="標楷體" w:eastAsia="標楷體" w:hAnsi="標楷體" w:hint="eastAsia"/>
              </w:rPr>
              <w:t>年9月</w:t>
            </w:r>
            <w:r w:rsidRPr="00AC06EC">
              <w:rPr>
                <w:rFonts w:ascii="標楷體" w:eastAsia="標楷體" w:hAnsi="標楷體" w:hint="eastAsia"/>
              </w:rPr>
              <w:t>，對其餘 3000 億美元中國進口商品課徵關稅 10%。</w:t>
            </w:r>
          </w:p>
          <w:p w14:paraId="682DC481" w14:textId="77777777" w:rsidR="00356B98" w:rsidRPr="00AC06EC" w:rsidRDefault="00356B98" w:rsidP="00356B98">
            <w:pPr>
              <w:pStyle w:val="a6"/>
              <w:rPr>
                <w:rFonts w:ascii="標楷體" w:eastAsia="標楷體" w:hAnsi="標楷體" w:hint="eastAsia"/>
              </w:rPr>
            </w:pPr>
            <w:proofErr w:type="gramStart"/>
            <w:r w:rsidRPr="00AC06EC">
              <w:rPr>
                <w:rFonts w:ascii="標楷體" w:eastAsia="標楷體" w:hAnsi="標楷體" w:hint="eastAsia"/>
              </w:rPr>
              <w:t>原物料股與</w:t>
            </w:r>
            <w:proofErr w:type="gramEnd"/>
            <w:r w:rsidRPr="00AC06EC">
              <w:rPr>
                <w:rFonts w:ascii="標楷體" w:eastAsia="標楷體" w:hAnsi="標楷體" w:hint="eastAsia"/>
              </w:rPr>
              <w:t>汽車</w:t>
            </w:r>
            <w:proofErr w:type="gramStart"/>
            <w:r w:rsidRPr="00AC06EC">
              <w:rPr>
                <w:rFonts w:ascii="標楷體" w:eastAsia="標楷體" w:hAnsi="標楷體" w:hint="eastAsia"/>
              </w:rPr>
              <w:t>股分</w:t>
            </w:r>
            <w:proofErr w:type="gramEnd"/>
            <w:r w:rsidRPr="00AC06EC">
              <w:rPr>
                <w:rFonts w:ascii="標楷體" w:eastAsia="標楷體" w:hAnsi="標楷體" w:hint="eastAsia"/>
              </w:rPr>
              <w:t>別下跌 4.6% 與 3.4%。科技股下跌 3.6%，亦為跌幅最大類股之</w:t>
            </w:r>
            <w:proofErr w:type="gramStart"/>
            <w:r w:rsidRPr="00AC06EC">
              <w:rPr>
                <w:rFonts w:ascii="標楷體" w:eastAsia="標楷體" w:hAnsi="標楷體" w:hint="eastAsia"/>
              </w:rPr>
              <w:t>一</w:t>
            </w:r>
            <w:proofErr w:type="gramEnd"/>
            <w:r w:rsidRPr="00AC06EC">
              <w:rPr>
                <w:rFonts w:ascii="標楷體" w:eastAsia="標楷體" w:hAnsi="標楷體" w:hint="eastAsia"/>
              </w:rPr>
              <w:t>。</w:t>
            </w:r>
          </w:p>
          <w:p w14:paraId="3ED8877F" w14:textId="77777777" w:rsidR="00356B98" w:rsidRPr="00AC06EC" w:rsidRDefault="00356B98" w:rsidP="00356B98">
            <w:pPr>
              <w:pStyle w:val="a6"/>
              <w:rPr>
                <w:rFonts w:ascii="標楷體" w:eastAsia="標楷體" w:hAnsi="標楷體" w:hint="eastAsia"/>
              </w:rPr>
            </w:pPr>
            <w:r w:rsidRPr="00AC06EC">
              <w:rPr>
                <w:rFonts w:ascii="標楷體" w:eastAsia="標楷體" w:hAnsi="標楷體" w:hint="eastAsia"/>
              </w:rPr>
              <w:t>川普總統週四</w:t>
            </w:r>
            <w:proofErr w:type="gramStart"/>
            <w:r w:rsidRPr="00AC06EC">
              <w:rPr>
                <w:rFonts w:ascii="標楷體" w:eastAsia="標楷體" w:hAnsi="標楷體" w:hint="eastAsia"/>
              </w:rPr>
              <w:t>發布推文</w:t>
            </w:r>
            <w:proofErr w:type="gramEnd"/>
            <w:r w:rsidRPr="00AC06EC">
              <w:rPr>
                <w:rFonts w:ascii="標楷體" w:eastAsia="標楷體" w:hAnsi="標楷體" w:hint="eastAsia"/>
              </w:rPr>
              <w:t>，廢棄了全球兩個最大經濟體的貿易休兵，投資人因而急</w:t>
            </w:r>
            <w:proofErr w:type="gramStart"/>
            <w:r w:rsidRPr="00AC06EC">
              <w:rPr>
                <w:rFonts w:ascii="標楷體" w:eastAsia="標楷體" w:hAnsi="標楷體" w:hint="eastAsia"/>
              </w:rPr>
              <w:t>急</w:t>
            </w:r>
            <w:proofErr w:type="gramEnd"/>
            <w:r w:rsidRPr="00AC06EC">
              <w:rPr>
                <w:rFonts w:ascii="標楷體" w:eastAsia="標楷體" w:hAnsi="標楷體" w:hint="eastAsia"/>
              </w:rPr>
              <w:t>避險。</w:t>
            </w:r>
          </w:p>
          <w:p w14:paraId="6A666F94" w14:textId="3C7E33C9" w:rsidR="00273969" w:rsidRPr="00023DD4" w:rsidRDefault="00273969" w:rsidP="00273969">
            <w:pPr>
              <w:pStyle w:val="a6"/>
              <w:rPr>
                <w:rFonts w:ascii="標楷體" w:eastAsia="標楷體" w:hAnsi="標楷體" w:hint="eastAsia"/>
              </w:rPr>
            </w:pPr>
            <w:r w:rsidRPr="00883A1C">
              <w:rPr>
                <w:rFonts w:ascii="標楷體" w:eastAsia="標楷體" w:hAnsi="標楷體" w:hint="eastAsia"/>
                <w:highlight w:val="yellow"/>
              </w:rPr>
              <w:t>德國 DAX-30 指數下跌 380.71 點或 3.11% 至 11872.44。</w:t>
            </w:r>
          </w:p>
        </w:tc>
        <w:tc>
          <w:tcPr>
            <w:tcW w:w="2074" w:type="dxa"/>
          </w:tcPr>
          <w:p w14:paraId="76D368D7" w14:textId="03CB2E46" w:rsidR="00273969" w:rsidRPr="00023DD4" w:rsidRDefault="00273969" w:rsidP="00023DD4">
            <w:pPr>
              <w:pStyle w:val="a6"/>
              <w:rPr>
                <w:rFonts w:ascii="標楷體" w:eastAsia="標楷體" w:hAnsi="標楷體" w:hint="eastAsia"/>
              </w:rPr>
            </w:pPr>
            <w:r>
              <w:rPr>
                <w:rFonts w:ascii="標楷體" w:eastAsia="標楷體" w:hAnsi="標楷體" w:hint="eastAsia"/>
              </w:rPr>
              <w:t>和法股一樣崩盤4</w:t>
            </w:r>
            <w:r>
              <w:rPr>
                <w:rFonts w:ascii="標楷體" w:eastAsia="標楷體" w:hAnsi="標楷體"/>
              </w:rPr>
              <w:t>0%</w:t>
            </w:r>
            <w:r>
              <w:rPr>
                <w:rFonts w:ascii="標楷體" w:eastAsia="標楷體" w:hAnsi="標楷體" w:hint="eastAsia"/>
              </w:rPr>
              <w:t>左右。</w:t>
            </w:r>
          </w:p>
        </w:tc>
        <w:tc>
          <w:tcPr>
            <w:tcW w:w="2074" w:type="dxa"/>
          </w:tcPr>
          <w:p w14:paraId="2769E569" w14:textId="302FF03D" w:rsidR="00273969" w:rsidRPr="00023DD4" w:rsidRDefault="00C34F5C" w:rsidP="00023DD4">
            <w:pPr>
              <w:pStyle w:val="a6"/>
              <w:rPr>
                <w:rFonts w:ascii="標楷體" w:eastAsia="標楷體" w:hAnsi="標楷體" w:hint="eastAsia"/>
              </w:rPr>
            </w:pPr>
            <w:r>
              <w:rPr>
                <w:rFonts w:ascii="標楷體" w:eastAsia="標楷體" w:hAnsi="標楷體" w:hint="eastAsia"/>
              </w:rPr>
              <w:t>德國受</w:t>
            </w:r>
            <w:proofErr w:type="gramStart"/>
            <w:r>
              <w:rPr>
                <w:rFonts w:ascii="標楷體" w:eastAsia="標楷體" w:hAnsi="標楷體" w:hint="eastAsia"/>
              </w:rPr>
              <w:t>英國脫歐的</w:t>
            </w:r>
            <w:proofErr w:type="gramEnd"/>
            <w:r>
              <w:rPr>
                <w:rFonts w:ascii="標楷體" w:eastAsia="標楷體" w:hAnsi="標楷體" w:hint="eastAsia"/>
              </w:rPr>
              <w:t>程度似乎較輕微，在</w:t>
            </w:r>
            <w:proofErr w:type="gramStart"/>
            <w:r>
              <w:rPr>
                <w:rFonts w:ascii="標楷體" w:eastAsia="標楷體" w:hAnsi="標楷體" w:hint="eastAsia"/>
              </w:rPr>
              <w:t>疫情與脫歐</w:t>
            </w:r>
            <w:proofErr w:type="gramEnd"/>
            <w:r>
              <w:rPr>
                <w:rFonts w:ascii="標楷體" w:eastAsia="標楷體" w:hAnsi="標楷體" w:hint="eastAsia"/>
              </w:rPr>
              <w:t>雙重夾擊之下，全年還能</w:t>
            </w:r>
            <w:r w:rsidRPr="00C34F5C">
              <w:rPr>
                <w:rFonts w:ascii="標楷體" w:eastAsia="標楷體" w:hAnsi="標楷體" w:hint="eastAsia"/>
                <w:highlight w:val="yellow"/>
              </w:rPr>
              <w:t>繳出上漲3%的好成績</w:t>
            </w:r>
            <w:r>
              <w:rPr>
                <w:rFonts w:ascii="標楷體" w:eastAsia="標楷體" w:hAnsi="標楷體" w:hint="eastAsia"/>
              </w:rPr>
              <w:t>。其中有些</w:t>
            </w:r>
            <w:r w:rsidRPr="00C34F5C">
              <w:rPr>
                <w:rFonts w:ascii="標楷體" w:eastAsia="標楷體" w:hAnsi="標楷體" w:hint="eastAsia"/>
                <w:highlight w:val="yellow"/>
              </w:rPr>
              <w:t>關鍵在於德國產業特性</w:t>
            </w:r>
            <w:r>
              <w:rPr>
                <w:rFonts w:ascii="標楷體" w:eastAsia="標楷體" w:hAnsi="標楷體" w:hint="eastAsia"/>
              </w:rPr>
              <w:t>。</w:t>
            </w:r>
            <w:r w:rsidRPr="00C34F5C">
              <w:rPr>
                <w:rFonts w:ascii="標楷體" w:eastAsia="標楷體" w:hAnsi="標楷體" w:hint="eastAsia"/>
              </w:rPr>
              <w:t>擁有專門產品的工程、科技及半導體公司</w:t>
            </w:r>
            <w:r>
              <w:rPr>
                <w:rFonts w:ascii="標楷體" w:eastAsia="標楷體" w:hAnsi="標楷體" w:hint="eastAsia"/>
              </w:rPr>
              <w:t>受</w:t>
            </w:r>
            <w:proofErr w:type="gramStart"/>
            <w:r>
              <w:rPr>
                <w:rFonts w:ascii="標楷體" w:eastAsia="標楷體" w:hAnsi="標楷體" w:hint="eastAsia"/>
              </w:rPr>
              <w:t>這次脫歐的</w:t>
            </w:r>
            <w:proofErr w:type="gramEnd"/>
            <w:r>
              <w:rPr>
                <w:rFonts w:ascii="標楷體" w:eastAsia="標楷體" w:hAnsi="標楷體" w:hint="eastAsia"/>
              </w:rPr>
              <w:t>影響中較小</w:t>
            </w:r>
            <w:r w:rsidRPr="00C34F5C">
              <w:rPr>
                <w:rFonts w:ascii="標楷體" w:eastAsia="標楷體" w:hAnsi="標楷體" w:hint="eastAsia"/>
              </w:rPr>
              <w:t>。</w:t>
            </w:r>
            <w:r>
              <w:rPr>
                <w:rFonts w:ascii="標楷體" w:eastAsia="標楷體" w:hAnsi="標楷體" w:hint="eastAsia"/>
              </w:rPr>
              <w:t>再加上2</w:t>
            </w:r>
            <w:r>
              <w:rPr>
                <w:rFonts w:ascii="標楷體" w:eastAsia="標楷體" w:hAnsi="標楷體"/>
              </w:rPr>
              <w:t>020</w:t>
            </w:r>
            <w:r>
              <w:rPr>
                <w:rFonts w:ascii="標楷體" w:eastAsia="標楷體" w:hAnsi="標楷體" w:hint="eastAsia"/>
              </w:rPr>
              <w:t>歐洲整體經濟有復甦的情形，所以德股可以逆勢上揚。</w:t>
            </w:r>
          </w:p>
        </w:tc>
        <w:tc>
          <w:tcPr>
            <w:tcW w:w="2074" w:type="dxa"/>
          </w:tcPr>
          <w:p w14:paraId="2492B6CD" w14:textId="7CB03045" w:rsidR="00273969" w:rsidRPr="00023DD4" w:rsidRDefault="00241DB6" w:rsidP="00023DD4">
            <w:pPr>
              <w:pStyle w:val="a6"/>
              <w:rPr>
                <w:rFonts w:ascii="標楷體" w:eastAsia="標楷體" w:hAnsi="標楷體" w:hint="eastAsia"/>
              </w:rPr>
            </w:pPr>
            <w:r>
              <w:rPr>
                <w:rFonts w:ascii="標楷體" w:eastAsia="標楷體" w:hAnsi="標楷體" w:hint="eastAsia"/>
              </w:rPr>
              <w:t>德國身為歐元區的老大，在這波危機中</w:t>
            </w:r>
            <w:r w:rsidR="00E61FCA">
              <w:rPr>
                <w:rFonts w:ascii="標楷體" w:eastAsia="標楷體" w:hAnsi="標楷體" w:hint="eastAsia"/>
              </w:rPr>
              <w:t>也</w:t>
            </w:r>
            <w:r w:rsidR="00E61FCA">
              <w:rPr>
                <w:rFonts w:ascii="標楷體" w:eastAsia="標楷體" w:hAnsi="標楷體" w:hint="eastAsia"/>
              </w:rPr>
              <w:t>受傷</w:t>
            </w:r>
            <w:r>
              <w:rPr>
                <w:rFonts w:ascii="標楷體" w:eastAsia="標楷體" w:hAnsi="標楷體" w:hint="eastAsia"/>
              </w:rPr>
              <w:t>頗深，2</w:t>
            </w:r>
            <w:r>
              <w:rPr>
                <w:rFonts w:ascii="標楷體" w:eastAsia="標楷體" w:hAnsi="標楷體"/>
              </w:rPr>
              <w:t>011</w:t>
            </w:r>
            <w:r>
              <w:rPr>
                <w:rFonts w:ascii="標楷體" w:eastAsia="標楷體" w:hAnsi="標楷體" w:hint="eastAsia"/>
              </w:rPr>
              <w:t>全年股價重挫1</w:t>
            </w:r>
            <w:r>
              <w:rPr>
                <w:rFonts w:ascii="標楷體" w:eastAsia="標楷體" w:hAnsi="標楷體"/>
              </w:rPr>
              <w:t>4%</w:t>
            </w:r>
            <w:r>
              <w:rPr>
                <w:rFonts w:ascii="標楷體" w:eastAsia="標楷體" w:hAnsi="標楷體" w:hint="eastAsia"/>
              </w:rPr>
              <w:t>。</w:t>
            </w:r>
            <w:proofErr w:type="gramStart"/>
            <w:r w:rsidRPr="00E61FCA">
              <w:rPr>
                <w:rFonts w:ascii="標楷體" w:eastAsia="標楷體" w:hAnsi="標楷體" w:hint="eastAsia"/>
                <w:highlight w:val="yellow"/>
              </w:rPr>
              <w:t>歐債危機</w:t>
            </w:r>
            <w:proofErr w:type="gramEnd"/>
            <w:r w:rsidRPr="00E61FCA">
              <w:rPr>
                <w:rFonts w:ascii="標楷體" w:eastAsia="標楷體" w:hAnsi="標楷體" w:hint="eastAsia"/>
                <w:highlight w:val="yellow"/>
              </w:rPr>
              <w:t>令歐元區和歐盟的缺陷暴露</w:t>
            </w:r>
            <w:r w:rsidRPr="00241DB6">
              <w:rPr>
                <w:rFonts w:ascii="標楷體" w:eastAsia="標楷體" w:hAnsi="標楷體" w:hint="eastAsia"/>
              </w:rPr>
              <w:t>，</w:t>
            </w:r>
            <w:r w:rsidRPr="00E61FCA">
              <w:rPr>
                <w:rFonts w:ascii="標楷體" w:eastAsia="標楷體" w:hAnsi="標楷體" w:hint="eastAsia"/>
                <w:highlight w:val="yellow"/>
              </w:rPr>
              <w:t>加深內部裂痕，統一貨幣政策和獨立財政政策之間的矛盾令危機國家缺乏自主應對危機的能力。</w:t>
            </w:r>
          </w:p>
        </w:tc>
        <w:bookmarkStart w:id="0" w:name="_GoBack"/>
        <w:bookmarkEnd w:id="0"/>
      </w:tr>
    </w:tbl>
    <w:p w14:paraId="55C5C9B4" w14:textId="77777777" w:rsidR="006369F5" w:rsidRDefault="006369F5"/>
    <w:sectPr w:rsidR="006369F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1CB31" w14:textId="77777777" w:rsidR="00096138" w:rsidRDefault="00096138" w:rsidP="00096138">
      <w:r>
        <w:separator/>
      </w:r>
    </w:p>
  </w:endnote>
  <w:endnote w:type="continuationSeparator" w:id="0">
    <w:p w14:paraId="7D02DC7A" w14:textId="77777777" w:rsidR="00096138" w:rsidRDefault="00096138" w:rsidP="0009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149F" w14:textId="77777777" w:rsidR="00096138" w:rsidRDefault="00096138" w:rsidP="00096138">
      <w:r>
        <w:separator/>
      </w:r>
    </w:p>
  </w:footnote>
  <w:footnote w:type="continuationSeparator" w:id="0">
    <w:p w14:paraId="4082C392" w14:textId="77777777" w:rsidR="00096138" w:rsidRDefault="00096138" w:rsidP="000961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D0"/>
    <w:rsid w:val="00023DD4"/>
    <w:rsid w:val="00096138"/>
    <w:rsid w:val="001142DE"/>
    <w:rsid w:val="00140AF1"/>
    <w:rsid w:val="00241DB6"/>
    <w:rsid w:val="00272362"/>
    <w:rsid w:val="00273969"/>
    <w:rsid w:val="002D36FF"/>
    <w:rsid w:val="00356B98"/>
    <w:rsid w:val="004B38BA"/>
    <w:rsid w:val="004B64FD"/>
    <w:rsid w:val="00584E3C"/>
    <w:rsid w:val="00594E49"/>
    <w:rsid w:val="005F2527"/>
    <w:rsid w:val="00622CFD"/>
    <w:rsid w:val="006369F5"/>
    <w:rsid w:val="007855D1"/>
    <w:rsid w:val="00883A1C"/>
    <w:rsid w:val="009D7D03"/>
    <w:rsid w:val="00A4288A"/>
    <w:rsid w:val="00AD3A34"/>
    <w:rsid w:val="00BD092A"/>
    <w:rsid w:val="00C156D0"/>
    <w:rsid w:val="00C34F5C"/>
    <w:rsid w:val="00D872E4"/>
    <w:rsid w:val="00DC3E4A"/>
    <w:rsid w:val="00E61F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0FDDF0"/>
  <w15:chartTrackingRefBased/>
  <w15:docId w15:val="{564C1D2C-945E-431B-91B4-B217F4A8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622CF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BD092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622CFD"/>
    <w:rPr>
      <w:color w:val="0000FF"/>
      <w:u w:val="single"/>
    </w:rPr>
  </w:style>
  <w:style w:type="character" w:customStyle="1" w:styleId="10">
    <w:name w:val="標題 1 字元"/>
    <w:basedOn w:val="a0"/>
    <w:link w:val="1"/>
    <w:uiPriority w:val="9"/>
    <w:rsid w:val="00622CFD"/>
    <w:rPr>
      <w:rFonts w:ascii="新細明體" w:eastAsia="新細明體" w:hAnsi="新細明體" w:cs="新細明體"/>
      <w:b/>
      <w:bCs/>
      <w:kern w:val="36"/>
      <w:sz w:val="48"/>
      <w:szCs w:val="48"/>
    </w:rPr>
  </w:style>
  <w:style w:type="character" w:styleId="a5">
    <w:name w:val="Strong"/>
    <w:basedOn w:val="a0"/>
    <w:uiPriority w:val="22"/>
    <w:qFormat/>
    <w:rsid w:val="00622CFD"/>
    <w:rPr>
      <w:b/>
      <w:bCs/>
    </w:rPr>
  </w:style>
  <w:style w:type="character" w:customStyle="1" w:styleId="20">
    <w:name w:val="標題 2 字元"/>
    <w:basedOn w:val="a0"/>
    <w:link w:val="2"/>
    <w:uiPriority w:val="9"/>
    <w:semiHidden/>
    <w:rsid w:val="00BD092A"/>
    <w:rPr>
      <w:rFonts w:asciiTheme="majorHAnsi" w:eastAsiaTheme="majorEastAsia" w:hAnsiTheme="majorHAnsi" w:cstheme="majorBidi"/>
      <w:b/>
      <w:bCs/>
      <w:sz w:val="48"/>
      <w:szCs w:val="48"/>
    </w:rPr>
  </w:style>
  <w:style w:type="paragraph" w:styleId="a6">
    <w:name w:val="No Spacing"/>
    <w:uiPriority w:val="1"/>
    <w:qFormat/>
    <w:rsid w:val="00023DD4"/>
    <w:pPr>
      <w:widowControl w:val="0"/>
    </w:pPr>
  </w:style>
  <w:style w:type="paragraph" w:styleId="a7">
    <w:name w:val="header"/>
    <w:basedOn w:val="a"/>
    <w:link w:val="a8"/>
    <w:uiPriority w:val="99"/>
    <w:unhideWhenUsed/>
    <w:rsid w:val="00096138"/>
    <w:pPr>
      <w:tabs>
        <w:tab w:val="center" w:pos="4153"/>
        <w:tab w:val="right" w:pos="8306"/>
      </w:tabs>
      <w:snapToGrid w:val="0"/>
    </w:pPr>
    <w:rPr>
      <w:sz w:val="20"/>
      <w:szCs w:val="20"/>
    </w:rPr>
  </w:style>
  <w:style w:type="character" w:customStyle="1" w:styleId="a8">
    <w:name w:val="頁首 字元"/>
    <w:basedOn w:val="a0"/>
    <w:link w:val="a7"/>
    <w:uiPriority w:val="99"/>
    <w:rsid w:val="00096138"/>
    <w:rPr>
      <w:sz w:val="20"/>
      <w:szCs w:val="20"/>
    </w:rPr>
  </w:style>
  <w:style w:type="paragraph" w:styleId="a9">
    <w:name w:val="footer"/>
    <w:basedOn w:val="a"/>
    <w:link w:val="aa"/>
    <w:uiPriority w:val="99"/>
    <w:unhideWhenUsed/>
    <w:rsid w:val="00096138"/>
    <w:pPr>
      <w:tabs>
        <w:tab w:val="center" w:pos="4153"/>
        <w:tab w:val="right" w:pos="8306"/>
      </w:tabs>
      <w:snapToGrid w:val="0"/>
    </w:pPr>
    <w:rPr>
      <w:sz w:val="20"/>
      <w:szCs w:val="20"/>
    </w:rPr>
  </w:style>
  <w:style w:type="character" w:customStyle="1" w:styleId="aa">
    <w:name w:val="頁尾 字元"/>
    <w:basedOn w:val="a0"/>
    <w:link w:val="a9"/>
    <w:uiPriority w:val="99"/>
    <w:rsid w:val="000961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1806">
      <w:bodyDiv w:val="1"/>
      <w:marLeft w:val="0"/>
      <w:marRight w:val="0"/>
      <w:marTop w:val="0"/>
      <w:marBottom w:val="0"/>
      <w:divBdr>
        <w:top w:val="none" w:sz="0" w:space="0" w:color="auto"/>
        <w:left w:val="none" w:sz="0" w:space="0" w:color="auto"/>
        <w:bottom w:val="none" w:sz="0" w:space="0" w:color="auto"/>
        <w:right w:val="none" w:sz="0" w:space="0" w:color="auto"/>
      </w:divBdr>
    </w:div>
    <w:div w:id="351342862">
      <w:bodyDiv w:val="1"/>
      <w:marLeft w:val="0"/>
      <w:marRight w:val="0"/>
      <w:marTop w:val="0"/>
      <w:marBottom w:val="0"/>
      <w:divBdr>
        <w:top w:val="none" w:sz="0" w:space="0" w:color="auto"/>
        <w:left w:val="none" w:sz="0" w:space="0" w:color="auto"/>
        <w:bottom w:val="none" w:sz="0" w:space="0" w:color="auto"/>
        <w:right w:val="none" w:sz="0" w:space="0" w:color="auto"/>
      </w:divBdr>
    </w:div>
    <w:div w:id="819542084">
      <w:bodyDiv w:val="1"/>
      <w:marLeft w:val="0"/>
      <w:marRight w:val="0"/>
      <w:marTop w:val="0"/>
      <w:marBottom w:val="0"/>
      <w:divBdr>
        <w:top w:val="none" w:sz="0" w:space="0" w:color="auto"/>
        <w:left w:val="none" w:sz="0" w:space="0" w:color="auto"/>
        <w:bottom w:val="none" w:sz="0" w:space="0" w:color="auto"/>
        <w:right w:val="none" w:sz="0" w:space="0" w:color="auto"/>
      </w:divBdr>
    </w:div>
    <w:div w:id="1334144536">
      <w:bodyDiv w:val="1"/>
      <w:marLeft w:val="0"/>
      <w:marRight w:val="0"/>
      <w:marTop w:val="0"/>
      <w:marBottom w:val="0"/>
      <w:divBdr>
        <w:top w:val="none" w:sz="0" w:space="0" w:color="auto"/>
        <w:left w:val="none" w:sz="0" w:space="0" w:color="auto"/>
        <w:bottom w:val="none" w:sz="0" w:space="0" w:color="auto"/>
        <w:right w:val="none" w:sz="0" w:space="0" w:color="auto"/>
      </w:divBdr>
    </w:div>
    <w:div w:id="1344552249">
      <w:bodyDiv w:val="1"/>
      <w:marLeft w:val="0"/>
      <w:marRight w:val="0"/>
      <w:marTop w:val="0"/>
      <w:marBottom w:val="0"/>
      <w:divBdr>
        <w:top w:val="none" w:sz="0" w:space="0" w:color="auto"/>
        <w:left w:val="none" w:sz="0" w:space="0" w:color="auto"/>
        <w:bottom w:val="none" w:sz="0" w:space="0" w:color="auto"/>
        <w:right w:val="none" w:sz="0" w:space="0" w:color="auto"/>
      </w:divBdr>
    </w:div>
    <w:div w:id="1383864515">
      <w:bodyDiv w:val="1"/>
      <w:marLeft w:val="0"/>
      <w:marRight w:val="0"/>
      <w:marTop w:val="0"/>
      <w:marBottom w:val="0"/>
      <w:divBdr>
        <w:top w:val="none" w:sz="0" w:space="0" w:color="auto"/>
        <w:left w:val="none" w:sz="0" w:space="0" w:color="auto"/>
        <w:bottom w:val="none" w:sz="0" w:space="0" w:color="auto"/>
        <w:right w:val="none" w:sz="0" w:space="0" w:color="auto"/>
      </w:divBdr>
    </w:div>
    <w:div w:id="1504123601">
      <w:bodyDiv w:val="1"/>
      <w:marLeft w:val="0"/>
      <w:marRight w:val="0"/>
      <w:marTop w:val="0"/>
      <w:marBottom w:val="0"/>
      <w:divBdr>
        <w:top w:val="none" w:sz="0" w:space="0" w:color="auto"/>
        <w:left w:val="none" w:sz="0" w:space="0" w:color="auto"/>
        <w:bottom w:val="none" w:sz="0" w:space="0" w:color="auto"/>
        <w:right w:val="none" w:sz="0" w:space="0" w:color="auto"/>
      </w:divBdr>
    </w:div>
    <w:div w:id="1545799227">
      <w:bodyDiv w:val="1"/>
      <w:marLeft w:val="0"/>
      <w:marRight w:val="0"/>
      <w:marTop w:val="0"/>
      <w:marBottom w:val="0"/>
      <w:divBdr>
        <w:top w:val="none" w:sz="0" w:space="0" w:color="auto"/>
        <w:left w:val="none" w:sz="0" w:space="0" w:color="auto"/>
        <w:bottom w:val="none" w:sz="0" w:space="0" w:color="auto"/>
        <w:right w:val="none" w:sz="0" w:space="0" w:color="auto"/>
      </w:divBdr>
    </w:div>
    <w:div w:id="1780294667">
      <w:bodyDiv w:val="1"/>
      <w:marLeft w:val="0"/>
      <w:marRight w:val="0"/>
      <w:marTop w:val="0"/>
      <w:marBottom w:val="0"/>
      <w:divBdr>
        <w:top w:val="none" w:sz="0" w:space="0" w:color="auto"/>
        <w:left w:val="none" w:sz="0" w:space="0" w:color="auto"/>
        <w:bottom w:val="none" w:sz="0" w:space="0" w:color="auto"/>
        <w:right w:val="none" w:sz="0" w:space="0" w:color="auto"/>
      </w:divBdr>
    </w:div>
    <w:div w:id="21332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vest.cnyes.com/index/GI/NQDEL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Shao-Tzu Wu</dc:creator>
  <cp:keywords/>
  <dc:description/>
  <cp:lastModifiedBy>Shao-Tzu Wu</cp:lastModifiedBy>
  <cp:revision>15</cp:revision>
  <dcterms:created xsi:type="dcterms:W3CDTF">2022-05-19T01:41:00Z</dcterms:created>
  <dcterms:modified xsi:type="dcterms:W3CDTF">2022-06-11T05:37:00Z</dcterms:modified>
</cp:coreProperties>
</file>