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E4662" w14:textId="77777777" w:rsidR="0097636A" w:rsidRDefault="0097636A"/>
    <w:p w14:paraId="016C90B8" w14:textId="77777777" w:rsidR="0097636A" w:rsidRDefault="00000000">
      <w:pPr>
        <w:widowControl/>
        <w:jc w:val="left"/>
      </w:pPr>
      <w:r>
        <w:rPr>
          <w:rFonts w:hint="eastAsia"/>
        </w:rPr>
        <w:t>4.1 Validation of Standard Curve Reliability</w:t>
      </w:r>
    </w:p>
    <w:p w14:paraId="4ED590D6" w14:textId="77777777" w:rsidR="0097636A" w:rsidRDefault="00000000">
      <w:pPr>
        <w:widowControl/>
        <w:ind w:firstLine="420"/>
        <w:jc w:val="left"/>
      </w:pPr>
      <w:bookmarkStart w:id="0" w:name="_Hlk215346528"/>
      <w:r>
        <w:rPr>
          <w:rFonts w:hint="eastAsia"/>
        </w:rPr>
        <w:t>From the fitted standard curve in this study, the absorbance of trypan blue exhibits a nearly linear relationship with its concentration in the range of 0%</w:t>
      </w:r>
      <w:r>
        <w:rPr>
          <w:rFonts w:hint="eastAsia"/>
        </w:rPr>
        <w:t>–</w:t>
      </w:r>
      <w:r>
        <w:rPr>
          <w:rFonts w:hint="eastAsia"/>
        </w:rPr>
        <w:t xml:space="preserve">5% </w:t>
      </w:r>
      <w:proofErr w:type="gramStart"/>
      <w:r>
        <w:rPr>
          <w:rFonts w:hint="eastAsia"/>
        </w:rPr>
        <w:t>(v/v)</w:t>
      </w:r>
      <w:proofErr w:type="gramEnd"/>
      <w:r>
        <w:rPr>
          <w:rFonts w:hint="eastAsia"/>
        </w:rPr>
        <w:t>, which is fully consistent with the Beer-Lambert Law and provides a basis for using absorbance as a quantitative indicator of concentration in subsequent assays.</w:t>
      </w:r>
    </w:p>
    <w:p w14:paraId="0EFC58E1" w14:textId="77777777" w:rsidR="0097636A" w:rsidRDefault="00000000">
      <w:pPr>
        <w:widowControl/>
        <w:jc w:val="left"/>
      </w:pPr>
      <w:r>
        <w:rPr>
          <w:rFonts w:hint="eastAsia"/>
        </w:rPr>
        <w:t>4.2 Fabrication and Observation of Beads and Capsules</w:t>
      </w:r>
    </w:p>
    <w:p w14:paraId="128DA80D" w14:textId="77777777" w:rsidR="0097636A" w:rsidRDefault="00000000">
      <w:pPr>
        <w:widowControl/>
        <w:ind w:firstLine="420"/>
        <w:jc w:val="left"/>
      </w:pPr>
      <w:r>
        <w:rPr>
          <w:rFonts w:hint="eastAsia"/>
        </w:rPr>
        <w:t xml:space="preserve">In this study, fabrication parameters were optimized through repeated trials; measurement of their corresponding diameters revealed a positive correlation between particle diameter and needle diameter, with capsules significantly larger than beads and having more distinct, stable shell layers. And the main reason is that beads are formed via external gelation </w:t>
      </w:r>
      <w:proofErr w:type="gramStart"/>
      <w:r>
        <w:rPr>
          <w:rFonts w:hint="eastAsia"/>
        </w:rPr>
        <w:t>(alginate droplets into CaCl</w:t>
      </w:r>
      <w:r>
        <w:rPr>
          <w:rFonts w:hint="eastAsia"/>
        </w:rPr>
        <w:t>₂</w:t>
      </w:r>
      <w:r>
        <w:rPr>
          <w:rFonts w:hint="eastAsia"/>
        </w:rPr>
        <w:t>)</w:t>
      </w:r>
      <w:proofErr w:type="gramEnd"/>
      <w:r>
        <w:rPr>
          <w:rFonts w:hint="eastAsia"/>
        </w:rPr>
        <w:t xml:space="preserve"> with droplet shrinkage during crosslinking; capsules via reverse external gelation </w:t>
      </w:r>
      <w:proofErr w:type="gramStart"/>
      <w:r>
        <w:rPr>
          <w:rFonts w:hint="eastAsia"/>
        </w:rPr>
        <w:t>(CaCl</w:t>
      </w:r>
      <w:r>
        <w:rPr>
          <w:rFonts w:hint="eastAsia"/>
        </w:rPr>
        <w:t>₂</w:t>
      </w:r>
      <w:r>
        <w:rPr>
          <w:rFonts w:hint="eastAsia"/>
        </w:rPr>
        <w:t xml:space="preserve"> droplets into alginate)</w:t>
      </w:r>
      <w:proofErr w:type="gramEnd"/>
      <w:r>
        <w:rPr>
          <w:rFonts w:hint="eastAsia"/>
        </w:rPr>
        <w:t xml:space="preserve"> with shell restricting shrinkage and ensuring stability.</w:t>
      </w:r>
    </w:p>
    <w:p w14:paraId="5809A84A" w14:textId="77777777" w:rsidR="0097636A" w:rsidRDefault="00000000">
      <w:pPr>
        <w:widowControl/>
        <w:jc w:val="left"/>
      </w:pPr>
      <w:r>
        <w:rPr>
          <w:rFonts w:hint="eastAsia"/>
        </w:rPr>
        <w:t>4.3 Release Parameter Screening</w:t>
      </w:r>
    </w:p>
    <w:p w14:paraId="74372440" w14:textId="77777777" w:rsidR="0097636A" w:rsidRDefault="00000000">
      <w:pPr>
        <w:widowControl/>
        <w:ind w:firstLine="420"/>
        <w:jc w:val="left"/>
      </w:pPr>
      <w:r>
        <w:rPr>
          <w:rFonts w:hint="eastAsia"/>
        </w:rPr>
        <w:t>After repeated tests, this study confirmed that: beads fabricated with a 4.5# needle (32 beads/well) showed release profiles closest to first-order kinetics, while capsules made with a 6# needle (6 capsules/well) exhibited sufficient release concentrations and profiles closest to zero-order kinetics. Beads, with larger specific surface areas and shorter diffusion paths, had release more significantly driven by concentration gradients</w:t>
      </w:r>
      <w:r>
        <w:rPr>
          <w:rFonts w:hint="eastAsia"/>
        </w:rPr>
        <w:t>—</w:t>
      </w:r>
      <w:r>
        <w:rPr>
          <w:rFonts w:hint="eastAsia"/>
        </w:rPr>
        <w:t xml:space="preserve">32 beads/well avoided excessively low concentrations </w:t>
      </w:r>
      <w:proofErr w:type="gramStart"/>
      <w:r>
        <w:rPr>
          <w:rFonts w:hint="eastAsia"/>
        </w:rPr>
        <w:t>(inadequate for quantification)</w:t>
      </w:r>
      <w:proofErr w:type="gramEnd"/>
      <w:r>
        <w:rPr>
          <w:rFonts w:hint="eastAsia"/>
        </w:rPr>
        <w:t xml:space="preserve"> with fewer beads and abrupt initial rate increases (deviating from first-order model) with more beads. In contrast, large-sized capsules (intact shell, stable barrier regulation) had release dominated by shell resistance; 6 capsules/well balanced release total (ensuring adequate concentration) and rate (maintaining uniformity for zero-order model), while eliminating interference from improper size (e.g., thin, weakly-barriered small capsules) or quantity (e.g., shell compression, release disorder with excessive capsules).</w:t>
      </w:r>
    </w:p>
    <w:p w14:paraId="286D8056" w14:textId="77777777" w:rsidR="0097636A" w:rsidRDefault="00000000">
      <w:r>
        <w:rPr>
          <w:rFonts w:hint="eastAsia"/>
        </w:rPr>
        <w:t>4.4 distribution analysis</w:t>
      </w:r>
    </w:p>
    <w:p w14:paraId="12800EEB" w14:textId="77777777" w:rsidR="0097636A" w:rsidRDefault="00000000">
      <w:pPr>
        <w:widowControl/>
        <w:ind w:firstLine="420"/>
        <w:jc w:val="left"/>
      </w:pPr>
      <w:r>
        <w:rPr>
          <w:rFonts w:hint="eastAsia"/>
        </w:rPr>
        <w:t>In the distribution analysis, it can be observed that Beads exhibit first-order release, while capsules exhibit zero-order release. And bead release concentrations at all time points were higher than those of capsules. This divergence stemmed from structural differences: beads, with a homogeneous alginate matrix, relied on concentration gradient-driven diffusion, while capsules</w:t>
      </w:r>
      <w:r>
        <w:rPr>
          <w:rFonts w:hint="eastAsia"/>
        </w:rPr>
        <w:t>—</w:t>
      </w:r>
      <w:r>
        <w:rPr>
          <w:rFonts w:hint="eastAsia"/>
        </w:rPr>
        <w:t>stabilized by a dextran-containing shell</w:t>
      </w:r>
      <w:r>
        <w:rPr>
          <w:rFonts w:hint="eastAsia"/>
        </w:rPr>
        <w:t>—</w:t>
      </w:r>
      <w:r>
        <w:rPr>
          <w:rFonts w:hint="eastAsia"/>
        </w:rPr>
        <w:t>were regulated by constant barrier resistance from the shell. These results validated the parameter optimization from Experiment 3, clarified the distinct release mechanisms (diffusion-dominated first-order for beads vs. barrier-regulated zero-order for capsules), and provided a quantitative basis for carrier selection, with beads suited for short-term rapid release and capsules for long-term sustained release.</w:t>
      </w:r>
    </w:p>
    <w:p w14:paraId="15923080" w14:textId="388F7AD1" w:rsidR="0097636A" w:rsidRDefault="00000000">
      <w:pPr>
        <w:widowControl/>
        <w:ind w:firstLine="420"/>
        <w:jc w:val="left"/>
      </w:pPr>
      <w:r>
        <w:rPr>
          <w:rFonts w:hint="eastAsia"/>
        </w:rPr>
        <w:t>Despite valuable insights into alginate beads/capsules</w:t>
      </w:r>
      <w:r w:rsidR="00940D6E">
        <w:t>’</w:t>
      </w:r>
      <w:r w:rsidR="00940D6E">
        <w:rPr>
          <w:rFonts w:hint="eastAsia"/>
        </w:rPr>
        <w:t xml:space="preserve"> </w:t>
      </w:r>
      <w:r>
        <w:rPr>
          <w:rFonts w:hint="eastAsia"/>
        </w:rPr>
        <w:t xml:space="preserve">release kinetics and parameter optimization, this study has notable limitations. First, trypan blue </w:t>
      </w:r>
      <w:proofErr w:type="gramStart"/>
      <w:r>
        <w:rPr>
          <w:rFonts w:hint="eastAsia"/>
        </w:rPr>
        <w:t>(a biologically inert dye)</w:t>
      </w:r>
      <w:proofErr w:type="gramEnd"/>
      <w:r>
        <w:rPr>
          <w:rFonts w:hint="eastAsia"/>
        </w:rPr>
        <w:t xml:space="preserve"> was used as the model agent, failing to reflect actual bioactive substances like growth factors</w:t>
      </w:r>
      <w:r>
        <w:rPr>
          <w:rFonts w:hint="eastAsia"/>
        </w:rPr>
        <w:t>—</w:t>
      </w:r>
      <w:r>
        <w:rPr>
          <w:rFonts w:hint="eastAsia"/>
        </w:rPr>
        <w:t xml:space="preserve">replacing it would require addressing key gaps: growth factor bioactivity preservation, simultaneous concentration-bioactivity quantification, carrier compatibility (to avoid binding-induced inactivation), and dose safety control, which were unaccounted for here. Second, in vitro release tests used static deionized water, not simulating in vivo physiological microenvironments (e.g., pH fluctuations, enzymatic degradation), risking discrepancies </w:t>
      </w:r>
      <w:proofErr w:type="gramStart"/>
      <w:r>
        <w:rPr>
          <w:rFonts w:hint="eastAsia"/>
        </w:rPr>
        <w:t>between in</w:t>
      </w:r>
      <w:proofErr w:type="gramEnd"/>
      <w:r>
        <w:rPr>
          <w:rFonts w:hint="eastAsia"/>
        </w:rPr>
        <w:t xml:space="preserve"> vitro </w:t>
      </w:r>
      <w:proofErr w:type="gramStart"/>
      <w:r>
        <w:rPr>
          <w:rFonts w:hint="eastAsia"/>
        </w:rPr>
        <w:t>and in</w:t>
      </w:r>
      <w:proofErr w:type="gramEnd"/>
      <w:r>
        <w:rPr>
          <w:rFonts w:hint="eastAsia"/>
        </w:rPr>
        <w:t xml:space="preserve"> vivo behavior. Additionally, critical carrier structures (e.g., capsule shell thickness, </w:t>
      </w:r>
      <w:r>
        <w:rPr>
          <w:rFonts w:hint="eastAsia"/>
        </w:rPr>
        <w:lastRenderedPageBreak/>
        <w:t>alginate crosslinking degree) lacked precise quantitative characterization, with release-structure relationships inferred indirectly, weakening result reproducibility.</w:t>
      </w:r>
    </w:p>
    <w:p w14:paraId="409CE3AD" w14:textId="77777777" w:rsidR="0097636A" w:rsidRDefault="00000000">
      <w:pPr>
        <w:widowControl/>
        <w:ind w:firstLine="420"/>
        <w:jc w:val="left"/>
      </w:pPr>
      <w:r>
        <w:rPr>
          <w:rFonts w:hint="eastAsia"/>
        </w:rPr>
        <w:t>The optimized alginate beads (4.5# needle, 32 beads/well) and capsules (6# needle, 6 capsules/well) in this study, with their distinct first-order rapid release and zero-order sustained release profiles respectively, directly cater to diverse practical delivery demands</w:t>
      </w:r>
      <w:r>
        <w:rPr>
          <w:rFonts w:hint="eastAsia"/>
        </w:rPr>
        <w:t>—</w:t>
      </w:r>
      <w:r>
        <w:rPr>
          <w:rFonts w:hint="eastAsia"/>
        </w:rPr>
        <w:t xml:space="preserve">beads are ideal for scenarios requiring immediate bioactive availability (e.g., acute wound repair, where rapid release of antibacterial agents or growth factors suppresses early infection and initiates tissue regeneration), while capsules suit long-term steady-dose needs (e.g., chronic disease management like sustained insulin delivery for diabetes or controlled release of bone morphogenetic proteins in tissue engineering, avoiding subtherapeutic gaps or toxic peaks). Additionally, the clarified </w:t>
      </w:r>
      <w:r>
        <w:rPr>
          <w:rFonts w:hint="eastAsia"/>
        </w:rPr>
        <w:t>“</w:t>
      </w:r>
      <w:r>
        <w:rPr>
          <w:rFonts w:hint="eastAsia"/>
        </w:rPr>
        <w:t>needle size</w:t>
      </w:r>
      <w:r>
        <w:rPr>
          <w:rFonts w:hint="eastAsia"/>
        </w:rPr>
        <w:t>–</w:t>
      </w:r>
      <w:r>
        <w:rPr>
          <w:rFonts w:hint="eastAsia"/>
        </w:rPr>
        <w:t>carrier quantity</w:t>
      </w:r>
      <w:r>
        <w:rPr>
          <w:rFonts w:hint="eastAsia"/>
        </w:rPr>
        <w:t>–</w:t>
      </w:r>
      <w:r>
        <w:rPr>
          <w:rFonts w:hint="eastAsia"/>
        </w:rPr>
        <w:t>release kinetics</w:t>
      </w:r>
      <w:r>
        <w:rPr>
          <w:rFonts w:hint="eastAsia"/>
        </w:rPr>
        <w:t>”</w:t>
      </w:r>
      <w:r>
        <w:rPr>
          <w:rFonts w:hint="eastAsia"/>
        </w:rPr>
        <w:t xml:space="preserve"> relationship provides actionable process parameters for industrial-scale production, reducing repetitive trial-and-error, lowering costs, and improving batch consistency. Collectively, these findings bridge laboratory parameter optimization with real-world use, offering a practical reference for designing alginate-based drug delivery systems and advancing their translation into clinical or industrial products.</w:t>
      </w:r>
    </w:p>
    <w:bookmarkEnd w:id="0"/>
    <w:p w14:paraId="48A97632" w14:textId="77777777" w:rsidR="0097636A" w:rsidRDefault="0097636A">
      <w:pPr>
        <w:widowControl/>
        <w:jc w:val="left"/>
      </w:pPr>
    </w:p>
    <w:sectPr w:rsidR="009763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B767" w14:textId="77777777" w:rsidR="0039644D" w:rsidRDefault="0039644D" w:rsidP="00940D6E">
      <w:r>
        <w:separator/>
      </w:r>
    </w:p>
  </w:endnote>
  <w:endnote w:type="continuationSeparator" w:id="0">
    <w:p w14:paraId="1C2F04AA" w14:textId="77777777" w:rsidR="0039644D" w:rsidRDefault="0039644D" w:rsidP="00940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8BA4" w14:textId="77777777" w:rsidR="0039644D" w:rsidRDefault="0039644D" w:rsidP="00940D6E">
      <w:r>
        <w:separator/>
      </w:r>
    </w:p>
  </w:footnote>
  <w:footnote w:type="continuationSeparator" w:id="0">
    <w:p w14:paraId="0D743E7E" w14:textId="77777777" w:rsidR="0039644D" w:rsidRDefault="0039644D" w:rsidP="00940D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VerticalSpacing w:val="156"/>
  <w:noPunctuationKerning/>
  <w:characterSpacingControl w:val="compressPunctuation"/>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87E3903"/>
    <w:rsid w:val="0039644D"/>
    <w:rsid w:val="007A7B41"/>
    <w:rsid w:val="008623E4"/>
    <w:rsid w:val="00940D6E"/>
    <w:rsid w:val="0097636A"/>
    <w:rsid w:val="F87E3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53929D"/>
  <w15:docId w15:val="{4291B6B1-EBD5-4256-AB39-085CC8F8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40D6E"/>
    <w:pPr>
      <w:tabs>
        <w:tab w:val="center" w:pos="4153"/>
        <w:tab w:val="right" w:pos="8306"/>
      </w:tabs>
      <w:snapToGrid w:val="0"/>
      <w:jc w:val="center"/>
    </w:pPr>
    <w:rPr>
      <w:sz w:val="18"/>
      <w:szCs w:val="18"/>
    </w:rPr>
  </w:style>
  <w:style w:type="character" w:customStyle="1" w:styleId="a4">
    <w:name w:val="页眉 字符"/>
    <w:basedOn w:val="a0"/>
    <w:link w:val="a3"/>
    <w:rsid w:val="00940D6E"/>
    <w:rPr>
      <w:rFonts w:asciiTheme="minorHAnsi" w:eastAsiaTheme="minorEastAsia" w:hAnsiTheme="minorHAnsi" w:cstheme="minorBidi"/>
      <w:kern w:val="2"/>
      <w:sz w:val="18"/>
      <w:szCs w:val="18"/>
    </w:rPr>
  </w:style>
  <w:style w:type="paragraph" w:styleId="a5">
    <w:name w:val="footer"/>
    <w:basedOn w:val="a"/>
    <w:link w:val="a6"/>
    <w:rsid w:val="00940D6E"/>
    <w:pPr>
      <w:tabs>
        <w:tab w:val="center" w:pos="4153"/>
        <w:tab w:val="right" w:pos="8306"/>
      </w:tabs>
      <w:snapToGrid w:val="0"/>
      <w:jc w:val="left"/>
    </w:pPr>
    <w:rPr>
      <w:sz w:val="18"/>
      <w:szCs w:val="18"/>
    </w:rPr>
  </w:style>
  <w:style w:type="character" w:customStyle="1" w:styleId="a6">
    <w:name w:val="页脚 字符"/>
    <w:basedOn w:val="a0"/>
    <w:link w:val="a5"/>
    <w:rsid w:val="00940D6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773</Words>
  <Characters>4408</Characters>
  <Application>Microsoft Office Word</Application>
  <DocSecurity>0</DocSecurity>
  <Lines>36</Lines>
  <Paragraphs>10</Paragraphs>
  <ScaleCrop>false</ScaleCrop>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曦</dc:creator>
  <cp:lastModifiedBy>子墨 姚</cp:lastModifiedBy>
  <cp:revision>2</cp:revision>
  <dcterms:created xsi:type="dcterms:W3CDTF">2025-11-28T14:44:00Z</dcterms:created>
  <dcterms:modified xsi:type="dcterms:W3CDTF">2025-11-29T15:34:00Z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173312A91414F0A0B04429694151CCD3_41</vt:lpwstr>
  </property>
</Properties>
</file>