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A2D9E">
      <w:pPr>
        <w:jc w:val="both"/>
        <w:rPr>
          <w:rFonts w:hint="default" w:ascii="sans-serif" w:hAnsi="sans-serif" w:eastAsia="sans-serif" w:cs="sans-serif"/>
          <w:kern w:val="0"/>
          <w:sz w:val="24"/>
          <w:szCs w:val="24"/>
          <w:lang w:val="en-US" w:eastAsia="zh-CN" w:bidi="ar"/>
        </w:rPr>
      </w:pPr>
      <w:bookmarkStart w:id="0" w:name="_GoBack"/>
      <w:bookmarkEnd w:id="0"/>
      <w:r>
        <w:rPr>
          <w:rFonts w:hint="default" w:ascii="sans-serif" w:hAnsi="sans-serif" w:eastAsia="sans-serif" w:cs="sans-serif"/>
          <w:kern w:val="0"/>
          <w:sz w:val="24"/>
          <w:szCs w:val="24"/>
          <w:lang w:val="en-US" w:eastAsia="zh-CN" w:bidi="ar"/>
        </w:rPr>
        <w:t>Method:</w:t>
      </w:r>
    </w:p>
    <w:p w14:paraId="7A1BDD52">
      <w:pPr>
        <w:ind w:firstLine="420" w:firstLineChars="0"/>
        <w:jc w:val="both"/>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3-Point Bending Test -metal </w:t>
      </w:r>
    </w:p>
    <w:p w14:paraId="43AEA1F9">
      <w:pPr>
        <w:ind w:firstLine="420" w:firstLineChars="0"/>
        <w:jc w:val="both"/>
        <w:rPr>
          <w:rFonts w:hint="eastAsia"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 xml:space="preserve">1. Measure the width, height, and support span of 4 sheets of cast iron and 4 sheets of low carbon steel. </w:t>
      </w:r>
    </w:p>
    <w:p w14:paraId="6386ADCF">
      <w:pPr>
        <w:ind w:firstLine="420" w:firstLineChars="0"/>
        <w:jc w:val="both"/>
        <w:rPr>
          <w:rFonts w:hint="eastAsia"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 xml:space="preserve">2. Place sample on three-point bending test device. </w:t>
      </w:r>
    </w:p>
    <w:p w14:paraId="77C759DF">
      <w:pPr>
        <w:ind w:firstLine="420" w:firstLineChars="0"/>
        <w:jc w:val="both"/>
        <w:rPr>
          <w:rFonts w:hint="eastAsia"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 xml:space="preserve">3. Load at specified rate and record load-displacement data until test is terminated. </w:t>
      </w:r>
    </w:p>
    <w:p w14:paraId="32495F4D">
      <w:pPr>
        <w:ind w:firstLine="420" w:firstLineChars="0"/>
        <w:jc w:val="both"/>
        <w:rPr>
          <w:rFonts w:hint="eastAsia"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 xml:space="preserve">4. Use the data to plot load-displacement diagrams and to calculate Young’s modulus and stiffness </w:t>
      </w:r>
    </w:p>
    <w:p w14:paraId="2E85CD7B">
      <w:pPr>
        <w:ind w:firstLine="420" w:firstLineChars="0"/>
        <w:jc w:val="both"/>
        <w:rPr>
          <w:rFonts w:hint="eastAsia" w:ascii="sans-serif" w:hAnsi="sans-serif" w:eastAsia="sans-serif" w:cs="sans-serif"/>
          <w:kern w:val="0"/>
          <w:sz w:val="24"/>
          <w:szCs w:val="24"/>
          <w:lang w:val="en-US" w:eastAsia="zh-CN" w:bidi="ar"/>
        </w:rPr>
      </w:pPr>
    </w:p>
    <w:p w14:paraId="455F7396">
      <w:pPr>
        <w:jc w:val="both"/>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Result:</w:t>
      </w:r>
    </w:p>
    <w:p w14:paraId="038436E2">
      <w:pPr>
        <w:ind w:firstLine="420" w:firstLineChars="0"/>
        <w:jc w:val="both"/>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 xml:space="preserve">We measured the average width and thickness of four samples of each metal and calculated the moments of inertia of the cross sections using the equation </w:t>
      </w:r>
      <m:oMath>
        <m:r>
          <m:rPr>
            <m:sty m:val="p"/>
          </m:rPr>
          <w:rPr>
            <w:rFonts w:hint="default" w:ascii="DejaVu Math TeX Gyre" w:hAnsi="DejaVu Math TeX Gyre" w:eastAsia="sans-serif" w:cs="sans-serif"/>
            <w:kern w:val="0"/>
            <w:sz w:val="24"/>
            <w:szCs w:val="24"/>
            <w:lang w:val="en-US" w:eastAsia="zh-CN" w:bidi="ar"/>
          </w:rPr>
          <m:t>I=b</m:t>
        </m:r>
        <m:sSup>
          <m:sSupPr>
            <m:ctrlPr>
              <w:rPr>
                <w:rFonts w:hint="default" w:ascii="DejaVu Math TeX Gyre" w:hAnsi="DejaVu Math TeX Gyre" w:eastAsia="sans-serif" w:cs="sans-serif"/>
                <w:kern w:val="0"/>
                <w:sz w:val="24"/>
                <w:szCs w:val="24"/>
                <w:lang w:val="en-US" w:eastAsia="zh-CN" w:bidi="ar"/>
              </w:rPr>
            </m:ctrlPr>
          </m:sSupPr>
          <m:e>
            <m:r>
              <m:rPr>
                <m:sty m:val="p"/>
              </m:rPr>
              <w:rPr>
                <w:rFonts w:hint="default" w:ascii="DejaVu Math TeX Gyre" w:hAnsi="DejaVu Math TeX Gyre" w:eastAsia="sans-serif" w:cs="sans-serif"/>
                <w:kern w:val="0"/>
                <w:sz w:val="24"/>
                <w:szCs w:val="24"/>
                <w:lang w:val="en-US" w:eastAsia="zh-CN" w:bidi="ar"/>
              </w:rPr>
              <m:t>h</m:t>
            </m:r>
            <m:ctrlPr>
              <w:rPr>
                <w:rFonts w:hint="default" w:ascii="DejaVu Math TeX Gyre" w:hAnsi="DejaVu Math TeX Gyre" w:eastAsia="sans-serif" w:cs="sans-serif"/>
                <w:kern w:val="0"/>
                <w:sz w:val="24"/>
                <w:szCs w:val="24"/>
                <w:lang w:val="en-US" w:eastAsia="zh-CN" w:bidi="ar"/>
              </w:rPr>
            </m:ctrlPr>
          </m:e>
          <m:sup>
            <m:r>
              <m:rPr>
                <m:sty m:val="p"/>
              </m:rPr>
              <w:rPr>
                <w:rFonts w:hint="default" w:ascii="DejaVu Math TeX Gyre" w:hAnsi="DejaVu Math TeX Gyre" w:eastAsia="sans-serif" w:cs="sans-serif"/>
                <w:kern w:val="0"/>
                <w:sz w:val="24"/>
                <w:szCs w:val="24"/>
                <w:lang w:val="en-US" w:eastAsia="zh-CN" w:bidi="ar"/>
              </w:rPr>
              <m:t>3</m:t>
            </m:r>
            <m:ctrlPr>
              <w:rPr>
                <w:rFonts w:hint="default" w:ascii="DejaVu Math TeX Gyre" w:hAnsi="DejaVu Math TeX Gyre" w:eastAsia="sans-serif" w:cs="sans-serif"/>
                <w:kern w:val="0"/>
                <w:sz w:val="24"/>
                <w:szCs w:val="24"/>
                <w:lang w:val="en-US" w:eastAsia="zh-CN" w:bidi="ar"/>
              </w:rPr>
            </m:ctrlPr>
          </m:sup>
        </m:sSup>
        <m:r>
          <m:rPr>
            <m:sty m:val="p"/>
          </m:rPr>
          <w:rPr>
            <w:rFonts w:hint="default" w:ascii="DejaVu Math TeX Gyre" w:hAnsi="DejaVu Math TeX Gyre" w:eastAsia="sans-serif" w:cs="sans-serif"/>
            <w:kern w:val="0"/>
            <w:sz w:val="24"/>
            <w:szCs w:val="24"/>
            <w:lang w:val="en-US" w:eastAsia="zh-CN" w:bidi="ar"/>
          </w:rPr>
          <m:t>/12</m:t>
        </m:r>
      </m:oMath>
      <w:r>
        <w:rPr>
          <w:rFonts w:hint="eastAsia" w:ascii="sans-serif" w:hAnsi="sans-serif" w:eastAsia="sans-serif" w:cs="sans-serif"/>
          <w:kern w:val="0"/>
          <w:sz w:val="24"/>
          <w:szCs w:val="24"/>
          <w:lang w:val="en-US" w:eastAsia="zh-CN" w:bidi="ar"/>
        </w:rPr>
        <w:t xml:space="preserve">. </w:t>
      </w:r>
      <w:r>
        <w:rPr>
          <w:rFonts w:hint="default" w:ascii="sans-serif" w:hAnsi="sans-serif" w:eastAsia="sans-serif" w:cs="sans-serif"/>
          <w:kern w:val="0"/>
          <w:sz w:val="24"/>
          <w:szCs w:val="24"/>
          <w:lang w:val="en-US" w:eastAsia="zh-CN" w:bidi="ar"/>
        </w:rPr>
        <w:t>In addition</w:t>
      </w:r>
      <w:r>
        <w:rPr>
          <w:rFonts w:hint="eastAsia" w:ascii="sans-serif" w:hAnsi="sans-serif" w:eastAsia="sans-serif" w:cs="sans-serif"/>
          <w:kern w:val="0"/>
          <w:sz w:val="24"/>
          <w:szCs w:val="24"/>
          <w:lang w:val="en-US" w:eastAsia="zh-CN" w:bidi="ar"/>
        </w:rPr>
        <w:t>, we recorded the crosshead velocity of the specimens and the span of</w:t>
      </w:r>
      <w:r>
        <w:rPr>
          <w:rFonts w:hint="default" w:ascii="sans-serif" w:hAnsi="sans-serif" w:eastAsia="sans-serif" w:cs="sans-serif"/>
          <w:kern w:val="0"/>
          <w:sz w:val="24"/>
          <w:szCs w:val="24"/>
          <w:lang w:val="en-US" w:eastAsia="zh-CN" w:bidi="ar"/>
        </w:rPr>
        <w:t xml:space="preserve"> </w:t>
      </w:r>
      <w:r>
        <w:rPr>
          <w:rFonts w:hint="eastAsia" w:ascii="sans-serif" w:hAnsi="sans-serif" w:eastAsia="sans-serif" w:cs="sans-serif"/>
          <w:kern w:val="0"/>
          <w:sz w:val="24"/>
          <w:szCs w:val="24"/>
          <w:lang w:val="en-US" w:eastAsia="zh-CN" w:bidi="ar"/>
        </w:rPr>
        <w:t>the two lower supporting posts L. (Table.6)</w:t>
      </w:r>
    </w:p>
    <w:p w14:paraId="28998F57">
      <w:pPr>
        <w:jc w:val="center"/>
        <w:rPr>
          <w:rFonts w:hint="eastAsia" w:ascii="sans-serif" w:hAnsi="sans-serif" w:eastAsia="sans-serif" w:cs="sans-serif"/>
          <w:kern w:val="0"/>
          <w:sz w:val="24"/>
          <w:szCs w:val="24"/>
          <w:lang w:val="en-US" w:eastAsia="zh-CN" w:bidi="ar"/>
        </w:rPr>
      </w:pPr>
    </w:p>
    <w:p w14:paraId="7BC09D1B">
      <w:pPr>
        <w:jc w:val="center"/>
        <w:rPr>
          <w:rFonts w:hint="eastAsia" w:eastAsiaTheme="minorEastAsia"/>
          <w:vertAlign w:val="baseline"/>
          <w:lang w:val="en-US" w:eastAsia="zh-CN"/>
        </w:rPr>
      </w:pPr>
      <w:r>
        <w:rPr>
          <w:rFonts w:hint="eastAsia" w:eastAsiaTheme="minorEastAsia"/>
          <w:vertAlign w:val="baseline"/>
          <w:lang w:val="en-US" w:eastAsia="zh-CN"/>
        </w:rPr>
        <w:t xml:space="preserve">Table 6: </w:t>
      </w:r>
      <w:r>
        <w:rPr>
          <w:rFonts w:hint="eastAsia" w:eastAsiaTheme="minorEastAsia"/>
          <w:i/>
          <w:iCs/>
          <w:vertAlign w:val="baseline"/>
          <w:lang w:val="en-US" w:eastAsia="zh-CN"/>
        </w:rPr>
        <w:t xml:space="preserve">Procedure 3 </w:t>
      </w:r>
      <w:r>
        <w:rPr>
          <w:rFonts w:hint="default"/>
          <w:i/>
          <w:iCs/>
          <w:vertAlign w:val="baseline"/>
          <w:lang w:val="en-US" w:eastAsia="zh-CN"/>
        </w:rPr>
        <w:t xml:space="preserve">- </w:t>
      </w:r>
      <w:r>
        <w:rPr>
          <w:rFonts w:hint="eastAsia" w:eastAsiaTheme="minorEastAsia"/>
          <w:i/>
          <w:iCs/>
          <w:vertAlign w:val="baseline"/>
          <w:lang w:val="en-US" w:eastAsia="zh-CN"/>
        </w:rPr>
        <w:t>Dimensions of medal samples</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1"/>
        <w:gridCol w:w="1758"/>
        <w:gridCol w:w="879"/>
        <w:gridCol w:w="1648"/>
        <w:gridCol w:w="1648"/>
        <w:gridCol w:w="1648"/>
      </w:tblGrid>
      <w:tr w14:paraId="63E85A27">
        <w:trPr>
          <w:jc w:val="center"/>
        </w:trPr>
        <w:tc>
          <w:tcPr>
            <w:tcW w:w="941" w:type="dxa"/>
            <w:tcBorders>
              <w:top w:val="single" w:color="auto" w:sz="8" w:space="0"/>
              <w:left w:val="nil"/>
              <w:bottom w:val="double" w:color="auto" w:sz="4" w:space="0"/>
              <w:right w:val="single" w:color="auto" w:sz="4" w:space="0"/>
            </w:tcBorders>
            <w:vAlign w:val="center"/>
          </w:tcPr>
          <w:p w14:paraId="1F04B1CB">
            <w:pPr>
              <w:jc w:val="center"/>
              <w:rPr>
                <w:rFonts w:hint="default" w:eastAsiaTheme="minorEastAsia"/>
                <w:vertAlign w:val="baseline"/>
                <w:lang w:val="en-US" w:eastAsia="zh-CN"/>
              </w:rPr>
            </w:pPr>
            <w:r>
              <w:rPr>
                <w:rFonts w:hint="default"/>
                <w:vertAlign w:val="baseline"/>
                <w:lang w:val="en-US" w:eastAsia="zh-CN"/>
              </w:rPr>
              <w:t>sample</w:t>
            </w:r>
          </w:p>
        </w:tc>
        <w:tc>
          <w:tcPr>
            <w:tcW w:w="1758" w:type="dxa"/>
            <w:tcBorders>
              <w:top w:val="single" w:color="auto" w:sz="8" w:space="0"/>
              <w:left w:val="single" w:color="auto" w:sz="4" w:space="0"/>
              <w:bottom w:val="double" w:color="auto" w:sz="4" w:space="0"/>
              <w:right w:val="single" w:color="auto" w:sz="4" w:space="0"/>
            </w:tcBorders>
            <w:vAlign w:val="center"/>
          </w:tcPr>
          <w:p w14:paraId="2C4990A7">
            <w:pPr>
              <w:jc w:val="center"/>
              <w:rPr>
                <w:vertAlign w:val="baseline"/>
              </w:rPr>
            </w:pPr>
            <w:r>
              <w:rPr>
                <w:rFonts w:hint="eastAsia"/>
                <w:vertAlign w:val="baseline"/>
              </w:rPr>
              <w:t>Crosshead speed</w:t>
            </w:r>
          </w:p>
        </w:tc>
        <w:tc>
          <w:tcPr>
            <w:tcW w:w="879" w:type="dxa"/>
            <w:tcBorders>
              <w:top w:val="single" w:color="auto" w:sz="8" w:space="0"/>
              <w:left w:val="single" w:color="auto" w:sz="4" w:space="0"/>
              <w:bottom w:val="double" w:color="auto" w:sz="4" w:space="0"/>
              <w:right w:val="single" w:color="auto" w:sz="4" w:space="0"/>
            </w:tcBorders>
            <w:vAlign w:val="center"/>
          </w:tcPr>
          <w:p w14:paraId="6C69D6F3">
            <w:pPr>
              <w:jc w:val="center"/>
              <w:rPr>
                <w:vertAlign w:val="baseline"/>
              </w:rPr>
            </w:pPr>
            <w:r>
              <w:rPr>
                <w:rFonts w:hint="eastAsia"/>
                <w:vertAlign w:val="baseline"/>
              </w:rPr>
              <w:t>span L</w:t>
            </w:r>
          </w:p>
        </w:tc>
        <w:tc>
          <w:tcPr>
            <w:tcW w:w="1648" w:type="dxa"/>
            <w:tcBorders>
              <w:top w:val="single" w:color="auto" w:sz="8" w:space="0"/>
              <w:left w:val="single" w:color="auto" w:sz="4" w:space="0"/>
              <w:bottom w:val="double" w:color="auto" w:sz="4" w:space="0"/>
              <w:right w:val="single" w:color="auto" w:sz="4" w:space="0"/>
            </w:tcBorders>
            <w:vAlign w:val="center"/>
          </w:tcPr>
          <w:p w14:paraId="2935EC44">
            <w:pPr>
              <w:jc w:val="center"/>
              <w:rPr>
                <w:vertAlign w:val="baseline"/>
              </w:rPr>
            </w:pPr>
            <w:r>
              <w:rPr>
                <w:rFonts w:hint="default"/>
                <w:vertAlign w:val="baseline"/>
                <w:lang w:val="en-US"/>
              </w:rPr>
              <w:t>b_</w:t>
            </w:r>
            <w:r>
              <w:rPr>
                <w:rFonts w:hint="eastAsia"/>
                <w:vertAlign w:val="baseline"/>
              </w:rPr>
              <w:t>average (mm)</w:t>
            </w:r>
          </w:p>
        </w:tc>
        <w:tc>
          <w:tcPr>
            <w:tcW w:w="1648" w:type="dxa"/>
            <w:tcBorders>
              <w:top w:val="single" w:color="auto" w:sz="8" w:space="0"/>
              <w:left w:val="single" w:color="auto" w:sz="4" w:space="0"/>
              <w:bottom w:val="double" w:color="auto" w:sz="4" w:space="0"/>
              <w:right w:val="single" w:color="auto" w:sz="4" w:space="0"/>
            </w:tcBorders>
            <w:vAlign w:val="center"/>
          </w:tcPr>
          <w:p w14:paraId="42E1DDE5">
            <w:pPr>
              <w:jc w:val="center"/>
              <w:rPr>
                <w:vertAlign w:val="baseline"/>
              </w:rPr>
            </w:pPr>
            <w:r>
              <w:rPr>
                <w:rFonts w:hint="default"/>
                <w:vertAlign w:val="baseline"/>
                <w:lang w:val="en-US"/>
              </w:rPr>
              <w:t>h_</w:t>
            </w:r>
            <w:r>
              <w:rPr>
                <w:rFonts w:hint="eastAsia"/>
                <w:vertAlign w:val="baseline"/>
              </w:rPr>
              <w:t>average (mm)</w:t>
            </w:r>
          </w:p>
        </w:tc>
        <w:tc>
          <w:tcPr>
            <w:tcW w:w="1648" w:type="dxa"/>
            <w:tcBorders>
              <w:top w:val="single" w:color="auto" w:sz="8" w:space="0"/>
              <w:left w:val="single" w:color="auto" w:sz="4" w:space="0"/>
              <w:bottom w:val="double" w:color="auto" w:sz="4" w:space="0"/>
              <w:right w:val="nil"/>
            </w:tcBorders>
            <w:vAlign w:val="center"/>
          </w:tcPr>
          <w:p w14:paraId="13876664">
            <w:pPr>
              <w:jc w:val="center"/>
              <w:rPr>
                <w:rFonts w:hint="eastAsia" w:eastAsiaTheme="minorEastAsia"/>
                <w:vertAlign w:val="baseline"/>
                <w:lang w:eastAsia="zh-CN"/>
              </w:rPr>
            </w:pPr>
            <w:r>
              <w:rPr>
                <w:rFonts w:hint="eastAsia"/>
                <w:vertAlign w:val="baseline"/>
                <w:lang w:val="en-US" w:eastAsia="zh-CN"/>
              </w:rPr>
              <w:t xml:space="preserve">I </w:t>
            </w:r>
            <w:r>
              <w:rPr>
                <w:rFonts w:hint="eastAsia"/>
                <w:vertAlign w:val="baseline"/>
              </w:rPr>
              <w:t>(mm4</w:t>
            </w:r>
            <w:r>
              <w:rPr>
                <w:rFonts w:hint="eastAsia"/>
                <w:vertAlign w:val="baseline"/>
                <w:lang w:eastAsia="zh-CN"/>
              </w:rPr>
              <w:t>）</w:t>
            </w:r>
          </w:p>
        </w:tc>
      </w:tr>
      <w:tr w14:paraId="0DB1B480">
        <w:trPr>
          <w:jc w:val="center"/>
        </w:trPr>
        <w:tc>
          <w:tcPr>
            <w:tcW w:w="941" w:type="dxa"/>
            <w:tcBorders>
              <w:top w:val="double" w:color="auto" w:sz="4" w:space="0"/>
              <w:left w:val="nil"/>
              <w:bottom w:val="nil"/>
              <w:right w:val="single" w:color="auto" w:sz="4" w:space="0"/>
            </w:tcBorders>
            <w:vAlign w:val="center"/>
          </w:tcPr>
          <w:p w14:paraId="0951049F">
            <w:pPr>
              <w:jc w:val="center"/>
              <w:rPr>
                <w:rFonts w:hint="default"/>
                <w:vertAlign w:val="baseline"/>
                <w:lang w:val="en-US"/>
              </w:rPr>
            </w:pPr>
            <w:r>
              <w:rPr>
                <w:rFonts w:hint="default"/>
                <w:vertAlign w:val="baseline"/>
                <w:lang w:val="en-US"/>
              </w:rPr>
              <w:t>Steel1</w:t>
            </w:r>
          </w:p>
        </w:tc>
        <w:tc>
          <w:tcPr>
            <w:tcW w:w="1758" w:type="dxa"/>
            <w:vMerge w:val="restart"/>
            <w:tcBorders>
              <w:top w:val="double" w:color="auto" w:sz="4" w:space="0"/>
              <w:left w:val="single" w:color="auto" w:sz="4" w:space="0"/>
              <w:bottom w:val="single" w:color="auto" w:sz="4" w:space="0"/>
              <w:right w:val="nil"/>
            </w:tcBorders>
            <w:vAlign w:val="center"/>
          </w:tcPr>
          <w:p w14:paraId="68B5D27D">
            <w:pPr>
              <w:jc w:val="center"/>
              <w:rPr>
                <w:rFonts w:hint="default"/>
                <w:vertAlign w:val="baseline"/>
                <w:lang w:val="en-US"/>
              </w:rPr>
            </w:pPr>
            <w:r>
              <w:rPr>
                <w:rFonts w:hint="default"/>
                <w:vertAlign w:val="baseline"/>
                <w:lang w:val="en-US"/>
              </w:rPr>
              <w:t>5mm/min</w:t>
            </w:r>
          </w:p>
        </w:tc>
        <w:tc>
          <w:tcPr>
            <w:tcW w:w="879" w:type="dxa"/>
            <w:vMerge w:val="restart"/>
            <w:tcBorders>
              <w:top w:val="double" w:color="auto" w:sz="4" w:space="0"/>
              <w:left w:val="nil"/>
              <w:bottom w:val="single" w:color="auto" w:sz="4" w:space="0"/>
              <w:right w:val="single" w:color="auto" w:sz="4" w:space="0"/>
            </w:tcBorders>
            <w:vAlign w:val="center"/>
          </w:tcPr>
          <w:p w14:paraId="48F8ACC5">
            <w:pPr>
              <w:jc w:val="center"/>
              <w:rPr>
                <w:rFonts w:hint="default"/>
                <w:vertAlign w:val="baseline"/>
                <w:lang w:val="en-US"/>
              </w:rPr>
            </w:pPr>
            <w:r>
              <w:rPr>
                <w:rFonts w:hint="default"/>
                <w:vertAlign w:val="baseline"/>
                <w:lang w:val="en-US"/>
              </w:rPr>
              <w:t>60mm</w:t>
            </w:r>
          </w:p>
        </w:tc>
        <w:tc>
          <w:tcPr>
            <w:tcW w:w="1648" w:type="dxa"/>
            <w:tcBorders>
              <w:top w:val="double" w:color="auto" w:sz="4" w:space="0"/>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249F5E6B">
              <w:trPr>
                <w:trHeight w:val="336" w:hRule="atLeast"/>
              </w:trPr>
              <w:tc>
                <w:tcPr>
                  <w:tcW w:w="1344" w:type="dxa"/>
                  <w:tcBorders>
                    <w:top w:val="nil"/>
                    <w:left w:val="nil"/>
                    <w:bottom w:val="nil"/>
                    <w:right w:val="nil"/>
                  </w:tcBorders>
                  <w:shd w:val="clear" w:color="auto" w:fill="auto"/>
                  <w:noWrap/>
                  <w:vAlign w:val="center"/>
                </w:tcPr>
                <w:p w14:paraId="73A59389">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19.86</w:t>
                  </w:r>
                  <w:r>
                    <w:rPr>
                      <w:rFonts w:hint="default" w:ascii="宋体" w:hAnsi="宋体" w:eastAsia="宋体" w:cs="宋体"/>
                      <w:i w:val="0"/>
                      <w:iCs w:val="0"/>
                      <w:color w:val="000000"/>
                      <w:kern w:val="0"/>
                      <w:sz w:val="22"/>
                      <w:szCs w:val="22"/>
                      <w:u w:val="none"/>
                      <w:lang w:val="en-US" w:eastAsia="zh-CN" w:bidi="ar"/>
                    </w:rPr>
                    <w:t>0</w:t>
                  </w:r>
                </w:p>
              </w:tc>
            </w:tr>
          </w:tbl>
          <w:p w14:paraId="7A3F3680">
            <w:pPr>
              <w:jc w:val="center"/>
              <w:rPr>
                <w:vertAlign w:val="baseline"/>
              </w:rPr>
            </w:pPr>
          </w:p>
        </w:tc>
        <w:tc>
          <w:tcPr>
            <w:tcW w:w="1648" w:type="dxa"/>
            <w:tcBorders>
              <w:top w:val="double" w:color="auto" w:sz="4" w:space="0"/>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79E658D8">
              <w:trPr>
                <w:trHeight w:val="336" w:hRule="atLeast"/>
              </w:trPr>
              <w:tc>
                <w:tcPr>
                  <w:tcW w:w="1344" w:type="dxa"/>
                  <w:tcBorders>
                    <w:top w:val="nil"/>
                    <w:left w:val="nil"/>
                    <w:bottom w:val="nil"/>
                    <w:right w:val="nil"/>
                  </w:tcBorders>
                  <w:shd w:val="clear" w:color="auto" w:fill="auto"/>
                  <w:noWrap/>
                  <w:vAlign w:val="center"/>
                </w:tcPr>
                <w:p w14:paraId="1A29C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3.7666</w:t>
                  </w:r>
                </w:p>
              </w:tc>
            </w:tr>
          </w:tbl>
          <w:p w14:paraId="7BDEF5C1">
            <w:pPr>
              <w:jc w:val="center"/>
              <w:rPr>
                <w:vertAlign w:val="baseline"/>
              </w:rPr>
            </w:pPr>
          </w:p>
        </w:tc>
        <w:tc>
          <w:tcPr>
            <w:tcW w:w="1648" w:type="dxa"/>
            <w:tcBorders>
              <w:top w:val="double" w:color="auto" w:sz="4" w:space="0"/>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4EDE0C5A">
              <w:trPr>
                <w:trHeight w:val="336" w:hRule="atLeast"/>
              </w:trPr>
              <w:tc>
                <w:tcPr>
                  <w:tcW w:w="1344" w:type="dxa"/>
                  <w:tcBorders>
                    <w:top w:val="nil"/>
                    <w:left w:val="nil"/>
                    <w:bottom w:val="nil"/>
                    <w:right w:val="nil"/>
                  </w:tcBorders>
                  <w:shd w:val="clear" w:color="auto" w:fill="auto"/>
                  <w:noWrap/>
                  <w:vAlign w:val="center"/>
                </w:tcPr>
                <w:p w14:paraId="53EEE0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88.444</w:t>
                  </w:r>
                </w:p>
              </w:tc>
            </w:tr>
          </w:tbl>
          <w:p w14:paraId="73DA4720">
            <w:pPr>
              <w:jc w:val="center"/>
              <w:rPr>
                <w:vertAlign w:val="baseline"/>
              </w:rPr>
            </w:pPr>
          </w:p>
        </w:tc>
      </w:tr>
      <w:tr w14:paraId="64B4045E">
        <w:trPr>
          <w:jc w:val="center"/>
        </w:trPr>
        <w:tc>
          <w:tcPr>
            <w:tcW w:w="941" w:type="dxa"/>
            <w:tcBorders>
              <w:top w:val="nil"/>
              <w:left w:val="nil"/>
              <w:bottom w:val="nil"/>
              <w:right w:val="single" w:color="auto" w:sz="4" w:space="0"/>
            </w:tcBorders>
            <w:vAlign w:val="center"/>
          </w:tcPr>
          <w:p w14:paraId="46D21043">
            <w:pPr>
              <w:jc w:val="center"/>
              <w:rPr>
                <w:rFonts w:hint="default"/>
                <w:vertAlign w:val="baseline"/>
                <w:lang w:val="en-US"/>
              </w:rPr>
            </w:pPr>
            <w:r>
              <w:rPr>
                <w:rFonts w:hint="default"/>
                <w:vertAlign w:val="baseline"/>
                <w:lang w:val="en-US"/>
              </w:rPr>
              <w:t>Steel2</w:t>
            </w:r>
          </w:p>
        </w:tc>
        <w:tc>
          <w:tcPr>
            <w:tcW w:w="1758" w:type="dxa"/>
            <w:vMerge w:val="continue"/>
            <w:tcBorders>
              <w:top w:val="single" w:color="auto" w:sz="4" w:space="0"/>
              <w:left w:val="single" w:color="auto" w:sz="4" w:space="0"/>
              <w:bottom w:val="single" w:color="auto" w:sz="4" w:space="0"/>
              <w:right w:val="nil"/>
            </w:tcBorders>
            <w:vAlign w:val="center"/>
          </w:tcPr>
          <w:p w14:paraId="11274F18">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0DDC2BC3">
            <w:pPr>
              <w:jc w:val="center"/>
              <w:rPr>
                <w:vertAlign w:val="baseline"/>
              </w:rPr>
            </w:pPr>
          </w:p>
        </w:tc>
        <w:tc>
          <w:tcPr>
            <w:tcW w:w="1648" w:type="dxa"/>
            <w:tcBorders>
              <w:top w:val="nil"/>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7FECA619">
              <w:trPr>
                <w:trHeight w:val="336" w:hRule="atLeast"/>
              </w:trPr>
              <w:tc>
                <w:tcPr>
                  <w:tcW w:w="1344" w:type="dxa"/>
                  <w:tcBorders>
                    <w:top w:val="nil"/>
                    <w:left w:val="nil"/>
                    <w:bottom w:val="nil"/>
                    <w:right w:val="nil"/>
                  </w:tcBorders>
                  <w:shd w:val="clear" w:color="auto" w:fill="auto"/>
                  <w:noWrap/>
                  <w:vAlign w:val="center"/>
                </w:tcPr>
                <w:p w14:paraId="7CCD2AE0">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19.9</w:t>
                  </w:r>
                  <w:r>
                    <w:rPr>
                      <w:rFonts w:hint="default" w:ascii="宋体" w:hAnsi="宋体" w:eastAsia="宋体" w:cs="宋体"/>
                      <w:i w:val="0"/>
                      <w:iCs w:val="0"/>
                      <w:color w:val="000000"/>
                      <w:kern w:val="0"/>
                      <w:sz w:val="22"/>
                      <w:szCs w:val="22"/>
                      <w:u w:val="none"/>
                      <w:lang w:val="en-US" w:eastAsia="zh-CN" w:bidi="ar"/>
                    </w:rPr>
                    <w:t>00</w:t>
                  </w:r>
                </w:p>
              </w:tc>
            </w:tr>
          </w:tbl>
          <w:p w14:paraId="3A5BE221">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638D9270">
              <w:trPr>
                <w:trHeight w:val="336" w:hRule="atLeast"/>
              </w:trPr>
              <w:tc>
                <w:tcPr>
                  <w:tcW w:w="1344" w:type="dxa"/>
                  <w:tcBorders>
                    <w:top w:val="nil"/>
                    <w:left w:val="nil"/>
                    <w:bottom w:val="nil"/>
                    <w:right w:val="nil"/>
                  </w:tcBorders>
                  <w:shd w:val="clear" w:color="auto" w:fill="auto"/>
                  <w:noWrap/>
                  <w:vAlign w:val="center"/>
                </w:tcPr>
                <w:p w14:paraId="605243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3.6866</w:t>
                  </w:r>
                </w:p>
              </w:tc>
            </w:tr>
          </w:tbl>
          <w:p w14:paraId="18CA890F">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67ADCA55">
              <w:trPr>
                <w:trHeight w:val="336" w:hRule="atLeast"/>
              </w:trPr>
              <w:tc>
                <w:tcPr>
                  <w:tcW w:w="1344" w:type="dxa"/>
                  <w:tcBorders>
                    <w:top w:val="nil"/>
                    <w:left w:val="nil"/>
                    <w:bottom w:val="nil"/>
                    <w:right w:val="nil"/>
                  </w:tcBorders>
                  <w:shd w:val="clear" w:color="auto" w:fill="auto"/>
                  <w:noWrap/>
                  <w:vAlign w:val="center"/>
                </w:tcPr>
                <w:p w14:paraId="55E889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83.094</w:t>
                  </w:r>
                </w:p>
              </w:tc>
            </w:tr>
          </w:tbl>
          <w:p w14:paraId="4A7F3A57">
            <w:pPr>
              <w:jc w:val="center"/>
              <w:rPr>
                <w:vertAlign w:val="baseline"/>
              </w:rPr>
            </w:pPr>
          </w:p>
        </w:tc>
      </w:tr>
      <w:tr w14:paraId="5E5C7E6D">
        <w:trPr>
          <w:jc w:val="center"/>
        </w:trPr>
        <w:tc>
          <w:tcPr>
            <w:tcW w:w="941" w:type="dxa"/>
            <w:tcBorders>
              <w:top w:val="nil"/>
              <w:left w:val="nil"/>
              <w:bottom w:val="nil"/>
              <w:right w:val="single" w:color="auto" w:sz="4" w:space="0"/>
            </w:tcBorders>
            <w:vAlign w:val="center"/>
          </w:tcPr>
          <w:p w14:paraId="22019852">
            <w:pPr>
              <w:jc w:val="center"/>
              <w:rPr>
                <w:rFonts w:hint="default"/>
                <w:vertAlign w:val="baseline"/>
                <w:lang w:val="en-US"/>
              </w:rPr>
            </w:pPr>
            <w:r>
              <w:rPr>
                <w:rFonts w:hint="default"/>
                <w:vertAlign w:val="baseline"/>
                <w:lang w:val="en-US"/>
              </w:rPr>
              <w:t>Steel3</w:t>
            </w:r>
          </w:p>
        </w:tc>
        <w:tc>
          <w:tcPr>
            <w:tcW w:w="1758" w:type="dxa"/>
            <w:vMerge w:val="continue"/>
            <w:tcBorders>
              <w:top w:val="single" w:color="auto" w:sz="4" w:space="0"/>
              <w:left w:val="single" w:color="auto" w:sz="4" w:space="0"/>
              <w:bottom w:val="single" w:color="auto" w:sz="4" w:space="0"/>
              <w:right w:val="nil"/>
            </w:tcBorders>
            <w:vAlign w:val="center"/>
          </w:tcPr>
          <w:p w14:paraId="74242F87">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4260B86B">
            <w:pPr>
              <w:jc w:val="center"/>
              <w:rPr>
                <w:vertAlign w:val="baseline"/>
              </w:rPr>
            </w:pPr>
          </w:p>
        </w:tc>
        <w:tc>
          <w:tcPr>
            <w:tcW w:w="1648" w:type="dxa"/>
            <w:tcBorders>
              <w:top w:val="nil"/>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6ED649A0">
              <w:trPr>
                <w:trHeight w:val="336" w:hRule="atLeast"/>
              </w:trPr>
              <w:tc>
                <w:tcPr>
                  <w:tcW w:w="1344" w:type="dxa"/>
                  <w:tcBorders>
                    <w:top w:val="nil"/>
                    <w:left w:val="nil"/>
                    <w:bottom w:val="nil"/>
                    <w:right w:val="nil"/>
                  </w:tcBorders>
                  <w:shd w:val="clear" w:color="auto" w:fill="auto"/>
                  <w:noWrap/>
                  <w:vAlign w:val="center"/>
                </w:tcPr>
                <w:p w14:paraId="723CCBB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19.86</w:t>
                  </w:r>
                  <w:r>
                    <w:rPr>
                      <w:rFonts w:hint="default" w:ascii="宋体" w:hAnsi="宋体" w:eastAsia="宋体" w:cs="宋体"/>
                      <w:i w:val="0"/>
                      <w:iCs w:val="0"/>
                      <w:color w:val="000000"/>
                      <w:kern w:val="0"/>
                      <w:sz w:val="22"/>
                      <w:szCs w:val="22"/>
                      <w:u w:val="none"/>
                      <w:lang w:val="en-US" w:eastAsia="zh-CN" w:bidi="ar"/>
                    </w:rPr>
                    <w:t>0</w:t>
                  </w:r>
                </w:p>
              </w:tc>
            </w:tr>
          </w:tbl>
          <w:p w14:paraId="7B174243">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42D8105F">
              <w:trPr>
                <w:trHeight w:val="336" w:hRule="atLeast"/>
              </w:trPr>
              <w:tc>
                <w:tcPr>
                  <w:tcW w:w="1344" w:type="dxa"/>
                  <w:tcBorders>
                    <w:top w:val="nil"/>
                    <w:left w:val="nil"/>
                    <w:bottom w:val="nil"/>
                    <w:right w:val="nil"/>
                  </w:tcBorders>
                  <w:shd w:val="clear" w:color="auto" w:fill="auto"/>
                  <w:noWrap/>
                  <w:vAlign w:val="center"/>
                </w:tcPr>
                <w:p w14:paraId="17406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3.6733</w:t>
                  </w:r>
                </w:p>
              </w:tc>
            </w:tr>
          </w:tbl>
          <w:p w14:paraId="2444D19A">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67C65B26">
              <w:trPr>
                <w:trHeight w:val="336" w:hRule="atLeast"/>
              </w:trPr>
              <w:tc>
                <w:tcPr>
                  <w:tcW w:w="1344" w:type="dxa"/>
                  <w:tcBorders>
                    <w:top w:val="nil"/>
                    <w:left w:val="nil"/>
                    <w:bottom w:val="nil"/>
                    <w:right w:val="nil"/>
                  </w:tcBorders>
                  <w:shd w:val="clear" w:color="auto" w:fill="auto"/>
                  <w:noWrap/>
                  <w:vAlign w:val="center"/>
                </w:tcPr>
                <w:p w14:paraId="53CE86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82.031</w:t>
                  </w:r>
                </w:p>
              </w:tc>
            </w:tr>
          </w:tbl>
          <w:p w14:paraId="4F767FA9">
            <w:pPr>
              <w:jc w:val="center"/>
              <w:rPr>
                <w:vertAlign w:val="baseline"/>
              </w:rPr>
            </w:pPr>
          </w:p>
        </w:tc>
      </w:tr>
      <w:tr w14:paraId="1985108E">
        <w:trPr>
          <w:jc w:val="center"/>
        </w:trPr>
        <w:tc>
          <w:tcPr>
            <w:tcW w:w="941" w:type="dxa"/>
            <w:tcBorders>
              <w:top w:val="nil"/>
              <w:left w:val="nil"/>
              <w:bottom w:val="nil"/>
              <w:right w:val="single" w:color="auto" w:sz="4" w:space="0"/>
            </w:tcBorders>
            <w:vAlign w:val="center"/>
          </w:tcPr>
          <w:p w14:paraId="2A561A3B">
            <w:pPr>
              <w:jc w:val="center"/>
              <w:rPr>
                <w:rFonts w:hint="default"/>
                <w:vertAlign w:val="baseline"/>
                <w:lang w:val="en-US"/>
              </w:rPr>
            </w:pPr>
            <w:r>
              <w:rPr>
                <w:rFonts w:hint="default"/>
                <w:vertAlign w:val="baseline"/>
                <w:lang w:val="en-US"/>
              </w:rPr>
              <w:t>Steel4</w:t>
            </w:r>
          </w:p>
        </w:tc>
        <w:tc>
          <w:tcPr>
            <w:tcW w:w="1758" w:type="dxa"/>
            <w:vMerge w:val="continue"/>
            <w:tcBorders>
              <w:top w:val="single" w:color="auto" w:sz="4" w:space="0"/>
              <w:left w:val="single" w:color="auto" w:sz="4" w:space="0"/>
              <w:bottom w:val="single" w:color="auto" w:sz="4" w:space="0"/>
              <w:right w:val="nil"/>
            </w:tcBorders>
            <w:vAlign w:val="center"/>
          </w:tcPr>
          <w:p w14:paraId="5B8D714E">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090F8A01">
            <w:pPr>
              <w:jc w:val="center"/>
              <w:rPr>
                <w:vertAlign w:val="baseline"/>
              </w:rPr>
            </w:pPr>
          </w:p>
        </w:tc>
        <w:tc>
          <w:tcPr>
            <w:tcW w:w="1648" w:type="dxa"/>
            <w:tcBorders>
              <w:top w:val="nil"/>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40F02695">
              <w:trPr>
                <w:trHeight w:val="336" w:hRule="atLeast"/>
              </w:trPr>
              <w:tc>
                <w:tcPr>
                  <w:tcW w:w="1344" w:type="dxa"/>
                  <w:tcBorders>
                    <w:top w:val="nil"/>
                    <w:left w:val="nil"/>
                    <w:bottom w:val="nil"/>
                    <w:right w:val="nil"/>
                  </w:tcBorders>
                  <w:shd w:val="clear" w:color="auto" w:fill="auto"/>
                  <w:noWrap/>
                  <w:vAlign w:val="center"/>
                </w:tcPr>
                <w:p w14:paraId="5878D6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19.833</w:t>
                  </w:r>
                </w:p>
              </w:tc>
            </w:tr>
          </w:tbl>
          <w:p w14:paraId="450DE9D3">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5410A31D">
              <w:trPr>
                <w:trHeight w:val="336" w:hRule="atLeast"/>
              </w:trPr>
              <w:tc>
                <w:tcPr>
                  <w:tcW w:w="1344" w:type="dxa"/>
                  <w:tcBorders>
                    <w:top w:val="nil"/>
                    <w:left w:val="nil"/>
                    <w:bottom w:val="nil"/>
                    <w:right w:val="nil"/>
                  </w:tcBorders>
                  <w:shd w:val="clear" w:color="auto" w:fill="auto"/>
                  <w:noWrap/>
                  <w:vAlign w:val="center"/>
                </w:tcPr>
                <w:p w14:paraId="5F5F02A6">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3.68</w:t>
                  </w:r>
                  <w:r>
                    <w:rPr>
                      <w:rFonts w:hint="default" w:ascii="宋体" w:hAnsi="宋体" w:eastAsia="宋体" w:cs="宋体"/>
                      <w:i w:val="0"/>
                      <w:iCs w:val="0"/>
                      <w:color w:val="000000"/>
                      <w:kern w:val="0"/>
                      <w:sz w:val="22"/>
                      <w:szCs w:val="22"/>
                      <w:u w:val="none"/>
                      <w:lang w:val="en-US" w:eastAsia="zh-CN" w:bidi="ar"/>
                    </w:rPr>
                    <w:t>00</w:t>
                  </w:r>
                </w:p>
              </w:tc>
            </w:tr>
          </w:tbl>
          <w:p w14:paraId="44147BB5">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136A1D07">
              <w:trPr>
                <w:trHeight w:val="336" w:hRule="atLeast"/>
              </w:trPr>
              <w:tc>
                <w:tcPr>
                  <w:tcW w:w="1344" w:type="dxa"/>
                  <w:tcBorders>
                    <w:top w:val="nil"/>
                    <w:left w:val="nil"/>
                    <w:bottom w:val="nil"/>
                    <w:right w:val="nil"/>
                  </w:tcBorders>
                  <w:shd w:val="clear" w:color="auto" w:fill="auto"/>
                  <w:noWrap/>
                  <w:vAlign w:val="center"/>
                </w:tcPr>
                <w:p w14:paraId="0B631F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82.367</w:t>
                  </w:r>
                </w:p>
              </w:tc>
            </w:tr>
          </w:tbl>
          <w:p w14:paraId="585878A3">
            <w:pPr>
              <w:jc w:val="center"/>
              <w:rPr>
                <w:vertAlign w:val="baseline"/>
              </w:rPr>
            </w:pPr>
          </w:p>
        </w:tc>
      </w:tr>
      <w:tr w14:paraId="2C447DB6">
        <w:trPr>
          <w:jc w:val="center"/>
        </w:trPr>
        <w:tc>
          <w:tcPr>
            <w:tcW w:w="941" w:type="dxa"/>
            <w:tcBorders>
              <w:top w:val="nil"/>
              <w:left w:val="nil"/>
              <w:bottom w:val="nil"/>
              <w:right w:val="single" w:color="auto" w:sz="4" w:space="0"/>
            </w:tcBorders>
            <w:vAlign w:val="center"/>
          </w:tcPr>
          <w:p w14:paraId="6D9102A2">
            <w:pPr>
              <w:jc w:val="center"/>
              <w:rPr>
                <w:rFonts w:hint="default"/>
                <w:vertAlign w:val="baseline"/>
                <w:lang w:val="en-US"/>
              </w:rPr>
            </w:pPr>
            <w:r>
              <w:rPr>
                <w:rFonts w:hint="default"/>
                <w:vertAlign w:val="baseline"/>
                <w:lang w:val="en-US"/>
              </w:rPr>
              <w:t>Iron1</w:t>
            </w:r>
          </w:p>
        </w:tc>
        <w:tc>
          <w:tcPr>
            <w:tcW w:w="1758" w:type="dxa"/>
            <w:vMerge w:val="continue"/>
            <w:tcBorders>
              <w:top w:val="single" w:color="auto" w:sz="4" w:space="0"/>
              <w:left w:val="single" w:color="auto" w:sz="4" w:space="0"/>
              <w:bottom w:val="single" w:color="auto" w:sz="4" w:space="0"/>
              <w:right w:val="nil"/>
            </w:tcBorders>
            <w:vAlign w:val="center"/>
          </w:tcPr>
          <w:p w14:paraId="3117412F">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184CBE13">
            <w:pPr>
              <w:jc w:val="center"/>
              <w:rPr>
                <w:vertAlign w:val="baseline"/>
              </w:rPr>
            </w:pPr>
          </w:p>
        </w:tc>
        <w:tc>
          <w:tcPr>
            <w:tcW w:w="1648" w:type="dxa"/>
            <w:tcBorders>
              <w:top w:val="nil"/>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50A63169">
              <w:trPr>
                <w:trHeight w:val="336" w:hRule="atLeast"/>
              </w:trPr>
              <w:tc>
                <w:tcPr>
                  <w:tcW w:w="1344" w:type="dxa"/>
                  <w:tcBorders>
                    <w:top w:val="nil"/>
                    <w:left w:val="nil"/>
                    <w:bottom w:val="nil"/>
                    <w:right w:val="nil"/>
                  </w:tcBorders>
                  <w:shd w:val="clear" w:color="auto" w:fill="auto"/>
                  <w:noWrap/>
                  <w:vAlign w:val="center"/>
                </w:tcPr>
                <w:p w14:paraId="656B7D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19.953</w:t>
                  </w:r>
                </w:p>
              </w:tc>
            </w:tr>
          </w:tbl>
          <w:p w14:paraId="2D4F9247">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23A3D4F9">
              <w:trPr>
                <w:trHeight w:val="336" w:hRule="atLeast"/>
              </w:trPr>
              <w:tc>
                <w:tcPr>
                  <w:tcW w:w="1344" w:type="dxa"/>
                  <w:tcBorders>
                    <w:top w:val="nil"/>
                    <w:left w:val="nil"/>
                    <w:bottom w:val="nil"/>
                    <w:right w:val="nil"/>
                  </w:tcBorders>
                  <w:shd w:val="clear" w:color="auto" w:fill="auto"/>
                  <w:noWrap/>
                  <w:vAlign w:val="center"/>
                </w:tcPr>
                <w:p w14:paraId="2C99E4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3.7533</w:t>
                  </w:r>
                </w:p>
              </w:tc>
            </w:tr>
          </w:tbl>
          <w:p w14:paraId="52651D91">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67094536">
              <w:trPr>
                <w:trHeight w:val="336" w:hRule="atLeast"/>
              </w:trPr>
              <w:tc>
                <w:tcPr>
                  <w:tcW w:w="1344" w:type="dxa"/>
                  <w:tcBorders>
                    <w:top w:val="nil"/>
                    <w:left w:val="nil"/>
                    <w:bottom w:val="nil"/>
                    <w:right w:val="nil"/>
                  </w:tcBorders>
                  <w:shd w:val="clear" w:color="auto" w:fill="auto"/>
                  <w:noWrap/>
                  <w:vAlign w:val="center"/>
                </w:tcPr>
                <w:p w14:paraId="23038E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87.919</w:t>
                  </w:r>
                </w:p>
              </w:tc>
            </w:tr>
          </w:tbl>
          <w:p w14:paraId="39D97455">
            <w:pPr>
              <w:jc w:val="center"/>
              <w:rPr>
                <w:vertAlign w:val="baseline"/>
              </w:rPr>
            </w:pPr>
          </w:p>
        </w:tc>
      </w:tr>
      <w:tr w14:paraId="59E17D5E">
        <w:trPr>
          <w:jc w:val="center"/>
        </w:trPr>
        <w:tc>
          <w:tcPr>
            <w:tcW w:w="941" w:type="dxa"/>
            <w:tcBorders>
              <w:top w:val="nil"/>
              <w:left w:val="nil"/>
              <w:bottom w:val="nil"/>
              <w:right w:val="single" w:color="auto" w:sz="4" w:space="0"/>
            </w:tcBorders>
            <w:vAlign w:val="center"/>
          </w:tcPr>
          <w:p w14:paraId="2D1DDDF4">
            <w:pPr>
              <w:jc w:val="center"/>
              <w:rPr>
                <w:rFonts w:hint="default"/>
                <w:vertAlign w:val="baseline"/>
                <w:lang w:val="en-US"/>
              </w:rPr>
            </w:pPr>
            <w:r>
              <w:rPr>
                <w:rFonts w:hint="default"/>
                <w:vertAlign w:val="baseline"/>
                <w:lang w:val="en-US"/>
              </w:rPr>
              <w:t>Iron2</w:t>
            </w:r>
          </w:p>
        </w:tc>
        <w:tc>
          <w:tcPr>
            <w:tcW w:w="1758" w:type="dxa"/>
            <w:vMerge w:val="continue"/>
            <w:tcBorders>
              <w:top w:val="single" w:color="auto" w:sz="4" w:space="0"/>
              <w:left w:val="single" w:color="auto" w:sz="4" w:space="0"/>
              <w:bottom w:val="single" w:color="auto" w:sz="4" w:space="0"/>
              <w:right w:val="nil"/>
            </w:tcBorders>
            <w:vAlign w:val="center"/>
          </w:tcPr>
          <w:p w14:paraId="06B8795C">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0AF722F3">
            <w:pPr>
              <w:jc w:val="center"/>
              <w:rPr>
                <w:vertAlign w:val="baseline"/>
              </w:rPr>
            </w:pPr>
          </w:p>
        </w:tc>
        <w:tc>
          <w:tcPr>
            <w:tcW w:w="1648" w:type="dxa"/>
            <w:tcBorders>
              <w:top w:val="nil"/>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1E5283B5">
              <w:trPr>
                <w:trHeight w:val="336" w:hRule="atLeast"/>
              </w:trPr>
              <w:tc>
                <w:tcPr>
                  <w:tcW w:w="1344" w:type="dxa"/>
                  <w:tcBorders>
                    <w:top w:val="nil"/>
                    <w:left w:val="nil"/>
                    <w:bottom w:val="nil"/>
                    <w:right w:val="nil"/>
                  </w:tcBorders>
                  <w:shd w:val="clear" w:color="auto" w:fill="auto"/>
                  <w:noWrap/>
                  <w:vAlign w:val="center"/>
                </w:tcPr>
                <w:p w14:paraId="50682E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20.093</w:t>
                  </w:r>
                </w:p>
              </w:tc>
            </w:tr>
          </w:tbl>
          <w:p w14:paraId="09478C41">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6B99054C">
              <w:trPr>
                <w:trHeight w:val="336" w:hRule="atLeast"/>
              </w:trPr>
              <w:tc>
                <w:tcPr>
                  <w:tcW w:w="1344" w:type="dxa"/>
                  <w:tcBorders>
                    <w:top w:val="nil"/>
                    <w:left w:val="nil"/>
                    <w:bottom w:val="nil"/>
                    <w:right w:val="nil"/>
                  </w:tcBorders>
                  <w:shd w:val="clear" w:color="auto" w:fill="auto"/>
                  <w:noWrap/>
                  <w:vAlign w:val="center"/>
                </w:tcPr>
                <w:p w14:paraId="6E751E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3.7666</w:t>
                  </w:r>
                </w:p>
              </w:tc>
            </w:tr>
          </w:tbl>
          <w:p w14:paraId="2AB73B62">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7DA5246C">
              <w:trPr>
                <w:trHeight w:val="336" w:hRule="atLeast"/>
              </w:trPr>
              <w:tc>
                <w:tcPr>
                  <w:tcW w:w="1344" w:type="dxa"/>
                  <w:tcBorders>
                    <w:top w:val="nil"/>
                    <w:left w:val="nil"/>
                    <w:bottom w:val="nil"/>
                    <w:right w:val="nil"/>
                  </w:tcBorders>
                  <w:shd w:val="clear" w:color="auto" w:fill="auto"/>
                  <w:noWrap/>
                  <w:vAlign w:val="center"/>
                </w:tcPr>
                <w:p w14:paraId="2BA045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89.483</w:t>
                  </w:r>
                </w:p>
              </w:tc>
            </w:tr>
          </w:tbl>
          <w:p w14:paraId="10BB046D">
            <w:pPr>
              <w:jc w:val="center"/>
              <w:rPr>
                <w:vertAlign w:val="baseline"/>
              </w:rPr>
            </w:pPr>
          </w:p>
        </w:tc>
      </w:tr>
      <w:tr w14:paraId="53246BA3">
        <w:trPr>
          <w:jc w:val="center"/>
        </w:trPr>
        <w:tc>
          <w:tcPr>
            <w:tcW w:w="941" w:type="dxa"/>
            <w:tcBorders>
              <w:top w:val="nil"/>
              <w:left w:val="nil"/>
              <w:bottom w:val="nil"/>
              <w:right w:val="single" w:color="auto" w:sz="4" w:space="0"/>
            </w:tcBorders>
            <w:vAlign w:val="center"/>
          </w:tcPr>
          <w:p w14:paraId="011DB573">
            <w:pPr>
              <w:jc w:val="center"/>
              <w:rPr>
                <w:rFonts w:hint="default"/>
                <w:vertAlign w:val="baseline"/>
                <w:lang w:val="en-US"/>
              </w:rPr>
            </w:pPr>
            <w:r>
              <w:rPr>
                <w:rFonts w:hint="default"/>
                <w:vertAlign w:val="baseline"/>
                <w:lang w:val="en-US"/>
              </w:rPr>
              <w:t>Iron3</w:t>
            </w:r>
          </w:p>
        </w:tc>
        <w:tc>
          <w:tcPr>
            <w:tcW w:w="1758" w:type="dxa"/>
            <w:vMerge w:val="continue"/>
            <w:tcBorders>
              <w:top w:val="single" w:color="auto" w:sz="4" w:space="0"/>
              <w:left w:val="single" w:color="auto" w:sz="4" w:space="0"/>
              <w:bottom w:val="single" w:color="auto" w:sz="4" w:space="0"/>
              <w:right w:val="nil"/>
            </w:tcBorders>
            <w:vAlign w:val="center"/>
          </w:tcPr>
          <w:p w14:paraId="21C0135F">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5FEA35A8">
            <w:pPr>
              <w:jc w:val="center"/>
              <w:rPr>
                <w:vertAlign w:val="baseline"/>
              </w:rPr>
            </w:pPr>
          </w:p>
        </w:tc>
        <w:tc>
          <w:tcPr>
            <w:tcW w:w="1648" w:type="dxa"/>
            <w:tcBorders>
              <w:top w:val="nil"/>
              <w:left w:val="single" w:color="auto" w:sz="4" w:space="0"/>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482DBACB">
              <w:trPr>
                <w:trHeight w:val="336" w:hRule="atLeast"/>
              </w:trPr>
              <w:tc>
                <w:tcPr>
                  <w:tcW w:w="1344" w:type="dxa"/>
                  <w:tcBorders>
                    <w:top w:val="nil"/>
                    <w:left w:val="nil"/>
                    <w:bottom w:val="nil"/>
                    <w:right w:val="nil"/>
                  </w:tcBorders>
                  <w:shd w:val="clear" w:color="auto" w:fill="auto"/>
                  <w:noWrap/>
                  <w:vAlign w:val="center"/>
                </w:tcPr>
                <w:p w14:paraId="1F0978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20.126</w:t>
                  </w:r>
                </w:p>
              </w:tc>
            </w:tr>
          </w:tbl>
          <w:p w14:paraId="698CC81A">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740FBCDF">
              <w:trPr>
                <w:trHeight w:val="336" w:hRule="atLeast"/>
              </w:trPr>
              <w:tc>
                <w:tcPr>
                  <w:tcW w:w="1344" w:type="dxa"/>
                  <w:tcBorders>
                    <w:top w:val="nil"/>
                    <w:left w:val="nil"/>
                    <w:bottom w:val="nil"/>
                    <w:right w:val="nil"/>
                  </w:tcBorders>
                  <w:shd w:val="clear" w:color="auto" w:fill="auto"/>
                  <w:noWrap/>
                  <w:vAlign w:val="center"/>
                </w:tcPr>
                <w:p w14:paraId="1D77299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3.74</w:t>
                  </w:r>
                  <w:r>
                    <w:rPr>
                      <w:rFonts w:hint="default" w:ascii="宋体" w:hAnsi="宋体" w:eastAsia="宋体" w:cs="宋体"/>
                      <w:i w:val="0"/>
                      <w:iCs w:val="0"/>
                      <w:color w:val="000000"/>
                      <w:kern w:val="0"/>
                      <w:sz w:val="22"/>
                      <w:szCs w:val="22"/>
                      <w:u w:val="none"/>
                      <w:lang w:val="en-US" w:eastAsia="zh-CN" w:bidi="ar"/>
                    </w:rPr>
                    <w:t>00</w:t>
                  </w:r>
                </w:p>
              </w:tc>
            </w:tr>
          </w:tbl>
          <w:p w14:paraId="135AA646">
            <w:pPr>
              <w:jc w:val="center"/>
              <w:rPr>
                <w:vertAlign w:val="baseline"/>
              </w:rPr>
            </w:pPr>
          </w:p>
        </w:tc>
        <w:tc>
          <w:tcPr>
            <w:tcW w:w="1648" w:type="dxa"/>
            <w:tcBorders>
              <w:top w:val="nil"/>
              <w:left w:val="nil"/>
              <w:bottom w:val="nil"/>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3511E253">
              <w:trPr>
                <w:trHeight w:val="336" w:hRule="atLeast"/>
              </w:trPr>
              <w:tc>
                <w:tcPr>
                  <w:tcW w:w="1344" w:type="dxa"/>
                  <w:tcBorders>
                    <w:top w:val="nil"/>
                    <w:left w:val="nil"/>
                    <w:bottom w:val="nil"/>
                    <w:right w:val="nil"/>
                  </w:tcBorders>
                  <w:shd w:val="clear" w:color="auto" w:fill="auto"/>
                  <w:noWrap/>
                  <w:vAlign w:val="center"/>
                </w:tcPr>
                <w:p w14:paraId="761C56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87.741</w:t>
                  </w:r>
                </w:p>
              </w:tc>
            </w:tr>
          </w:tbl>
          <w:p w14:paraId="4D2F0DFB">
            <w:pPr>
              <w:jc w:val="center"/>
              <w:rPr>
                <w:vertAlign w:val="baseline"/>
              </w:rPr>
            </w:pPr>
          </w:p>
        </w:tc>
      </w:tr>
      <w:tr w14:paraId="43C29AFF">
        <w:trPr>
          <w:jc w:val="center"/>
        </w:trPr>
        <w:tc>
          <w:tcPr>
            <w:tcW w:w="941" w:type="dxa"/>
            <w:tcBorders>
              <w:top w:val="nil"/>
              <w:left w:val="nil"/>
              <w:bottom w:val="single" w:color="auto" w:sz="4" w:space="0"/>
              <w:right w:val="single" w:color="auto" w:sz="4" w:space="0"/>
            </w:tcBorders>
            <w:vAlign w:val="center"/>
          </w:tcPr>
          <w:p w14:paraId="7B443F27">
            <w:pPr>
              <w:jc w:val="center"/>
              <w:rPr>
                <w:rFonts w:hint="default"/>
                <w:vertAlign w:val="baseline"/>
                <w:lang w:val="en-US"/>
              </w:rPr>
            </w:pPr>
            <w:r>
              <w:rPr>
                <w:rFonts w:hint="default"/>
                <w:vertAlign w:val="baseline"/>
                <w:lang w:val="en-US"/>
              </w:rPr>
              <w:t>Iron4</w:t>
            </w:r>
          </w:p>
        </w:tc>
        <w:tc>
          <w:tcPr>
            <w:tcW w:w="1758" w:type="dxa"/>
            <w:vMerge w:val="continue"/>
            <w:tcBorders>
              <w:top w:val="single" w:color="auto" w:sz="4" w:space="0"/>
              <w:left w:val="single" w:color="auto" w:sz="4" w:space="0"/>
              <w:bottom w:val="single" w:color="auto" w:sz="4" w:space="0"/>
              <w:right w:val="nil"/>
            </w:tcBorders>
            <w:vAlign w:val="center"/>
          </w:tcPr>
          <w:p w14:paraId="0980B24C">
            <w:pPr>
              <w:jc w:val="center"/>
              <w:rPr>
                <w:vertAlign w:val="baseline"/>
              </w:rPr>
            </w:pPr>
          </w:p>
        </w:tc>
        <w:tc>
          <w:tcPr>
            <w:tcW w:w="879" w:type="dxa"/>
            <w:vMerge w:val="continue"/>
            <w:tcBorders>
              <w:top w:val="single" w:color="auto" w:sz="4" w:space="0"/>
              <w:left w:val="nil"/>
              <w:bottom w:val="single" w:color="auto" w:sz="4" w:space="0"/>
              <w:right w:val="single" w:color="auto" w:sz="4" w:space="0"/>
            </w:tcBorders>
            <w:vAlign w:val="center"/>
          </w:tcPr>
          <w:p w14:paraId="637CA5F6">
            <w:pPr>
              <w:jc w:val="center"/>
              <w:rPr>
                <w:vertAlign w:val="baseline"/>
              </w:rPr>
            </w:pPr>
          </w:p>
        </w:tc>
        <w:tc>
          <w:tcPr>
            <w:tcW w:w="1648" w:type="dxa"/>
            <w:tcBorders>
              <w:top w:val="nil"/>
              <w:left w:val="single" w:color="auto" w:sz="4" w:space="0"/>
              <w:bottom w:val="single" w:color="auto" w:sz="4" w:space="0"/>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26FD7BA8">
              <w:trPr>
                <w:trHeight w:val="336" w:hRule="atLeast"/>
              </w:trPr>
              <w:tc>
                <w:tcPr>
                  <w:tcW w:w="1344" w:type="dxa"/>
                  <w:tcBorders>
                    <w:top w:val="nil"/>
                    <w:left w:val="nil"/>
                    <w:bottom w:val="nil"/>
                    <w:right w:val="nil"/>
                  </w:tcBorders>
                  <w:shd w:val="clear" w:color="auto" w:fill="auto"/>
                  <w:noWrap/>
                  <w:vAlign w:val="center"/>
                </w:tcPr>
                <w:p w14:paraId="712927F0">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20.1</w:t>
                  </w:r>
                  <w:r>
                    <w:rPr>
                      <w:rFonts w:hint="default" w:ascii="宋体" w:hAnsi="宋体" w:eastAsia="宋体" w:cs="宋体"/>
                      <w:i w:val="0"/>
                      <w:iCs w:val="0"/>
                      <w:color w:val="000000"/>
                      <w:kern w:val="0"/>
                      <w:sz w:val="22"/>
                      <w:szCs w:val="22"/>
                      <w:u w:val="none"/>
                      <w:lang w:val="en-US" w:eastAsia="zh-CN" w:bidi="ar"/>
                    </w:rPr>
                    <w:t>00</w:t>
                  </w:r>
                </w:p>
              </w:tc>
            </w:tr>
          </w:tbl>
          <w:p w14:paraId="12FAFF48">
            <w:pPr>
              <w:jc w:val="center"/>
              <w:rPr>
                <w:vertAlign w:val="baseline"/>
              </w:rPr>
            </w:pPr>
          </w:p>
        </w:tc>
        <w:tc>
          <w:tcPr>
            <w:tcW w:w="1648" w:type="dxa"/>
            <w:tcBorders>
              <w:top w:val="nil"/>
              <w:left w:val="nil"/>
              <w:bottom w:val="single" w:color="auto" w:sz="4" w:space="0"/>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79BE0939">
              <w:trPr>
                <w:trHeight w:val="336" w:hRule="atLeast"/>
              </w:trPr>
              <w:tc>
                <w:tcPr>
                  <w:tcW w:w="1344" w:type="dxa"/>
                  <w:tcBorders>
                    <w:top w:val="nil"/>
                    <w:left w:val="nil"/>
                    <w:bottom w:val="nil"/>
                    <w:right w:val="nil"/>
                  </w:tcBorders>
                  <w:shd w:val="clear" w:color="auto" w:fill="auto"/>
                  <w:noWrap/>
                  <w:vAlign w:val="center"/>
                </w:tcPr>
                <w:p w14:paraId="7B6085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3.7466</w:t>
                  </w:r>
                </w:p>
              </w:tc>
            </w:tr>
          </w:tbl>
          <w:p w14:paraId="1C0D3626">
            <w:pPr>
              <w:jc w:val="center"/>
              <w:rPr>
                <w:vertAlign w:val="baseline"/>
              </w:rPr>
            </w:pPr>
          </w:p>
        </w:tc>
        <w:tc>
          <w:tcPr>
            <w:tcW w:w="1648" w:type="dxa"/>
            <w:tcBorders>
              <w:top w:val="nil"/>
              <w:left w:val="nil"/>
              <w:bottom w:val="single" w:color="auto" w:sz="4" w:space="0"/>
              <w:right w:val="nil"/>
            </w:tcBorders>
            <w:vAlign w:val="center"/>
          </w:tcPr>
          <w:tbl>
            <w:tblPr>
              <w:tblStyle w:val="3"/>
              <w:tblW w:w="1341"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4"/>
            </w:tblGrid>
            <w:tr w14:paraId="02613F0E">
              <w:trPr>
                <w:trHeight w:val="336" w:hRule="atLeast"/>
              </w:trPr>
              <w:tc>
                <w:tcPr>
                  <w:tcW w:w="1344" w:type="dxa"/>
                  <w:tcBorders>
                    <w:top w:val="nil"/>
                    <w:left w:val="nil"/>
                    <w:bottom w:val="nil"/>
                    <w:right w:val="nil"/>
                  </w:tcBorders>
                  <w:shd w:val="clear" w:color="auto" w:fill="auto"/>
                  <w:noWrap/>
                  <w:vAlign w:val="center"/>
                </w:tcPr>
                <w:p w14:paraId="602BA7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88.094</w:t>
                  </w:r>
                </w:p>
              </w:tc>
            </w:tr>
          </w:tbl>
          <w:p w14:paraId="5443B46E">
            <w:pPr>
              <w:jc w:val="center"/>
              <w:rPr>
                <w:vertAlign w:val="baseline"/>
              </w:rPr>
            </w:pPr>
          </w:p>
        </w:tc>
      </w:tr>
    </w:tbl>
    <w:p w14:paraId="770E3B37"/>
    <w:p w14:paraId="2248FAE2">
      <w:pPr>
        <w:bidi w:val="0"/>
        <w:rPr>
          <w:rFonts w:hint="eastAsia"/>
          <w:lang w:val="en-US" w:eastAsia="zh-CN"/>
        </w:rPr>
      </w:pPr>
    </w:p>
    <w:p w14:paraId="5BA6588A">
      <w:pPr>
        <w:pStyle w:val="2"/>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In the test, the low carbon steel bent significantly in the center and became “U” shaped, while the cast iron broke quickly with insignificant deformation. Obtaining the data of load force P and displacement </w:t>
      </w:r>
      <m:oMath>
        <m:r>
          <m:rPr/>
          <w:rPr>
            <w:rFonts w:hint="default" w:ascii="DejaVu Math TeX Gyre" w:hAnsi="DejaVu Math TeX Gyre" w:eastAsia="sans-serif"/>
          </w:rPr>
          <m:t>δ</m:t>
        </m:r>
      </m:oMath>
      <w:r>
        <w:rPr>
          <w:rFonts w:hint="default" w:ascii="sans-serif" w:hAnsi="sans-serif" w:eastAsia="sans-serif" w:cs="sans-serif"/>
        </w:rPr>
        <w:t xml:space="preserve">, we can plot the load-deflection curves for the three-point bending tests (Figure 5). Fitting the straight-line portion gives the stiffness S. We have also labeled the maximum load </w:t>
      </w:r>
      <m:oMath>
        <m:sSub>
          <m:sSubPr>
            <m:ctrlPr>
              <w:rPr>
                <w:rFonts w:hint="default" w:ascii="DejaVu Math TeX Gyre" w:hAnsi="DejaVu Math TeX Gyre" w:eastAsia="sans-serif"/>
              </w:rPr>
            </m:ctrlPr>
          </m:sSubPr>
          <m:e>
            <m:r>
              <m:rPr/>
              <w:rPr>
                <w:rFonts w:hint="default" w:ascii="DejaVu Math TeX Gyre" w:hAnsi="DejaVu Math TeX Gyre" w:eastAsia="sans-serif"/>
              </w:rPr>
              <m:t>P</m:t>
            </m:r>
            <m:ctrlPr>
              <w:rPr>
                <w:rFonts w:ascii="DejaVu Math TeX Gyre" w:hAnsi="DejaVu Math TeX Gyre" w:eastAsia="sans-serif"/>
              </w:rPr>
            </m:ctrlPr>
          </m:e>
          <m:sub>
            <m:r>
              <m:rPr>
                <m:sty m:val="p"/>
              </m:rPr>
              <w:rPr>
                <w:rFonts w:hint="default" w:ascii="DejaVu Math TeX Gyre" w:hAnsi="DejaVu Math TeX Gyre" w:eastAsia="sans-serif"/>
              </w:rPr>
              <m:t>max</m:t>
            </m:r>
            <m:ctrlPr>
              <w:rPr>
                <w:rFonts w:ascii="DejaVu Math TeX Gyre" w:hAnsi="DejaVu Math TeX Gyre" w:eastAsia="sans-serif"/>
              </w:rPr>
            </m:ctrlPr>
          </m:sub>
        </m:sSub>
      </m:oMath>
      <w:r>
        <w:rPr>
          <w:rFonts w:hint="default" w:ascii="sans-serif" w:hAnsi="sans-serif" w:eastAsia="sans-serif" w:cs="sans-serif"/>
        </w:rPr>
        <w:t>, although no load drop has yet occurred on the low carbon steel. The curves show that cast iron broke immediately after the maximum load was reached, while low carbon steel had better toughness.</w:t>
      </w:r>
    </w:p>
    <w:p w14:paraId="24D6314B">
      <w:pPr>
        <w:pStyle w:val="2"/>
        <w:keepNext w:val="0"/>
        <w:keepLines w:val="0"/>
        <w:widowControl/>
        <w:suppressLineNumbers w:val="0"/>
        <w:spacing w:before="0" w:beforeAutospacing="0" w:line="23" w:lineRule="atLeast"/>
        <w:rPr>
          <w:rFonts w:hint="default" w:hAnsi="sans-serif" w:eastAsia="sans-serif" w:cs="sans-serif"/>
          <w:i w:val="0"/>
        </w:rPr>
      </w:pPr>
      <w:r>
        <w:rPr>
          <w:rFonts w:hint="default" w:ascii="sans-serif" w:hAnsi="sans-serif" w:eastAsia="sans-serif" w:cs="sans-serif"/>
        </w:rPr>
        <w:t xml:space="preserve">Getting the stiffness and the fracture load, we calculate Young’s Modulus by </w:t>
      </w:r>
      <m:oMath>
        <m:r>
          <m:rPr/>
          <w:rPr>
            <w:rFonts w:hint="default" w:ascii="DejaVu Math TeX Gyre" w:hAnsi="DejaVu Math TeX Gyre" w:eastAsia="sans-serif"/>
          </w:rPr>
          <m:t>E=</m:t>
        </m:r>
        <m:f>
          <m:fPr>
            <m:ctrlPr>
              <w:rPr>
                <w:rFonts w:hint="default" w:ascii="DejaVu Math TeX Gyre" w:hAnsi="DejaVu Math TeX Gyre" w:eastAsia="sans-serif"/>
                <w:i/>
              </w:rPr>
            </m:ctrlPr>
          </m:fPr>
          <m:num>
            <m:r>
              <m:rPr/>
              <w:rPr>
                <w:rFonts w:hint="default" w:ascii="DejaVu Math TeX Gyre" w:hAnsi="DejaVu Math TeX Gyre" w:eastAsia="sans-serif"/>
              </w:rPr>
              <m:t>P</m:t>
            </m:r>
            <m:sSup>
              <m:sSupPr>
                <m:ctrlPr>
                  <w:rPr>
                    <w:rFonts w:hint="default" w:ascii="DejaVu Math TeX Gyre" w:hAnsi="DejaVu Math TeX Gyre" w:eastAsia="sans-serif"/>
                  </w:rPr>
                </m:ctrlPr>
              </m:sSupPr>
              <m:e>
                <m:r>
                  <m:rPr/>
                  <w:rPr>
                    <w:rFonts w:hint="default" w:ascii="DejaVu Math TeX Gyre" w:hAnsi="DejaVu Math TeX Gyre" w:eastAsia="sans-serif"/>
                  </w:rPr>
                  <m:t>L</m:t>
                </m:r>
                <m:ctrlPr>
                  <w:rPr>
                    <w:rFonts w:ascii="DejaVu Math TeX Gyre" w:hAnsi="DejaVu Math TeX Gyre" w:eastAsia="sans-serif"/>
                  </w:rPr>
                </m:ctrlPr>
              </m:e>
              <m:sup>
                <m:r>
                  <m:rPr/>
                  <w:rPr>
                    <w:rFonts w:hint="default" w:ascii="DejaVu Math TeX Gyre" w:hAnsi="DejaVu Math TeX Gyre" w:eastAsia="sans-serif"/>
                  </w:rPr>
                  <m:t>3</m:t>
                </m:r>
                <m:ctrlPr>
                  <w:rPr>
                    <w:rFonts w:ascii="DejaVu Math TeX Gyre" w:hAnsi="DejaVu Math TeX Gyre" w:eastAsia="sans-serif"/>
                  </w:rPr>
                </m:ctrlPr>
              </m:sup>
            </m:sSup>
            <m:ctrlPr>
              <w:rPr>
                <w:rFonts w:hint="default" w:ascii="DejaVu Math TeX Gyre" w:hAnsi="DejaVu Math TeX Gyre" w:eastAsia="sans-serif"/>
              </w:rPr>
            </m:ctrlPr>
          </m:num>
          <m:den>
            <m:r>
              <m:rPr/>
              <w:rPr>
                <w:rFonts w:hint="default" w:ascii="DejaVu Math TeX Gyre" w:hAnsi="DejaVu Math TeX Gyre" w:eastAsia="sans-serif"/>
              </w:rPr>
              <m:t>48δI</m:t>
            </m:r>
            <m:ctrlPr>
              <w:rPr>
                <w:rFonts w:hint="default" w:ascii="DejaVu Math TeX Gyre" w:hAnsi="DejaVu Math TeX Gyre" w:eastAsia="sans-serif"/>
              </w:rPr>
            </m:ctrlPr>
          </m:den>
        </m:f>
        <m:r>
          <m:rPr/>
          <w:rPr>
            <w:rFonts w:hint="default" w:ascii="DejaVu Math TeX Gyre" w:hAnsi="DejaVu Math TeX Gyre" w:eastAsia="sans-serif"/>
          </w:rPr>
          <m:t>=</m:t>
        </m:r>
        <m:f>
          <m:fPr>
            <m:ctrlPr>
              <w:rPr>
                <w:rFonts w:hint="default" w:ascii="DejaVu Math TeX Gyre" w:hAnsi="DejaVu Math TeX Gyre" w:eastAsia="sans-serif"/>
                <w:i/>
              </w:rPr>
            </m:ctrlPr>
          </m:fPr>
          <m:num>
            <m:r>
              <m:rPr/>
              <w:rPr>
                <w:rFonts w:hint="default" w:ascii="DejaVu Math TeX Gyre" w:hAnsi="DejaVu Math TeX Gyre" w:eastAsia="sans-serif"/>
              </w:rPr>
              <m:t>S</m:t>
            </m:r>
            <m:sSup>
              <m:sSupPr>
                <m:ctrlPr>
                  <w:rPr>
                    <w:rFonts w:hint="default" w:ascii="DejaVu Math TeX Gyre" w:hAnsi="DejaVu Math TeX Gyre" w:eastAsia="sans-serif"/>
                  </w:rPr>
                </m:ctrlPr>
              </m:sSupPr>
              <m:e>
                <m:r>
                  <m:rPr/>
                  <w:rPr>
                    <w:rFonts w:hint="default" w:ascii="DejaVu Math TeX Gyre" w:hAnsi="DejaVu Math TeX Gyre" w:eastAsia="sans-serif"/>
                  </w:rPr>
                  <m:t>L</m:t>
                </m:r>
                <m:ctrlPr>
                  <w:rPr>
                    <w:rFonts w:ascii="DejaVu Math TeX Gyre" w:hAnsi="DejaVu Math TeX Gyre" w:eastAsia="sans-serif"/>
                  </w:rPr>
                </m:ctrlPr>
              </m:e>
              <m:sup>
                <m:r>
                  <m:rPr/>
                  <w:rPr>
                    <w:rFonts w:hint="default" w:ascii="DejaVu Math TeX Gyre" w:hAnsi="DejaVu Math TeX Gyre" w:eastAsia="sans-serif"/>
                  </w:rPr>
                  <m:t>3</m:t>
                </m:r>
                <m:ctrlPr>
                  <w:rPr>
                    <w:rFonts w:ascii="DejaVu Math TeX Gyre" w:hAnsi="DejaVu Math TeX Gyre" w:eastAsia="sans-serif"/>
                  </w:rPr>
                </m:ctrlPr>
              </m:sup>
            </m:sSup>
            <m:ctrlPr>
              <w:rPr>
                <w:rFonts w:hint="default" w:ascii="DejaVu Math TeX Gyre" w:hAnsi="DejaVu Math TeX Gyre" w:eastAsia="sans-serif"/>
              </w:rPr>
            </m:ctrlPr>
          </m:num>
          <m:den>
            <m:r>
              <m:rPr/>
              <w:rPr>
                <w:rFonts w:hint="default" w:ascii="DejaVu Math TeX Gyre" w:hAnsi="DejaVu Math TeX Gyre" w:eastAsia="sans-serif"/>
              </w:rPr>
              <m:t>48I</m:t>
            </m:r>
            <m:ctrlPr>
              <w:rPr>
                <w:rFonts w:hint="default" w:ascii="DejaVu Math TeX Gyre" w:hAnsi="DejaVu Math TeX Gyre" w:eastAsia="sans-serif"/>
              </w:rPr>
            </m:ctrlPr>
          </m:den>
        </m:f>
      </m:oMath>
      <w:r>
        <w:rPr>
          <w:rFonts w:hint="default" w:ascii="sans-serif" w:hAnsi="sans-serif" w:eastAsia="sans-serif" w:cs="sans-serif"/>
        </w:rPr>
        <w:t>. We can also fetch the maximum moment</w:t>
      </w:r>
      <m:oMath>
        <m:sSub>
          <m:sSubPr>
            <m:ctrlPr>
              <w:rPr>
                <w:rFonts w:hint="default" w:ascii="DejaVu Math TeX Gyre" w:hAnsi="DejaVu Math TeX Gyre" w:eastAsia="sans-serif"/>
              </w:rPr>
            </m:ctrlPr>
          </m:sSubPr>
          <m:e>
            <m:r>
              <m:rPr/>
              <w:rPr>
                <w:rFonts w:hint="default" w:ascii="DejaVu Math TeX Gyre" w:hAnsi="DejaVu Math TeX Gyre" w:eastAsia="sans-serif"/>
                <w:lang w:val="en-US" w:eastAsia="zh-CN"/>
              </w:rPr>
              <m:t xml:space="preserve"> </m:t>
            </m:r>
            <m:r>
              <m:rPr/>
              <w:rPr>
                <w:rFonts w:hint="default" w:ascii="DejaVu Math TeX Gyre" w:hAnsi="DejaVu Math TeX Gyre" w:eastAsia="sans-serif"/>
              </w:rPr>
              <m:t>M</m:t>
            </m:r>
            <m:ctrlPr>
              <w:rPr>
                <w:rFonts w:ascii="DejaVu Math TeX Gyre" w:hAnsi="DejaVu Math TeX Gyre" w:eastAsia="sans-serif"/>
              </w:rPr>
            </m:ctrlPr>
          </m:e>
          <m:sub>
            <m:r>
              <m:rPr>
                <m:sty m:val="p"/>
              </m:rPr>
              <w:rPr>
                <w:rFonts w:hint="default" w:ascii="DejaVu Math TeX Gyre" w:hAnsi="DejaVu Math TeX Gyre" w:eastAsia="sans-serif"/>
              </w:rPr>
              <m:t>max</m:t>
            </m:r>
            <m:ctrlPr>
              <w:rPr>
                <w:rFonts w:ascii="DejaVu Math TeX Gyre" w:hAnsi="DejaVu Math TeX Gyre" w:eastAsia="sans-serif"/>
              </w:rPr>
            </m:ctrlPr>
          </m:sub>
        </m:sSub>
      </m:oMath>
      <w:r>
        <w:rPr>
          <w:rFonts w:hint="default" w:ascii="sans-serif" w:hAnsi="sans-serif" w:eastAsia="sans-serif" w:cs="sans-serif"/>
        </w:rPr>
        <w:t xml:space="preserve"> </w:t>
      </w:r>
      <w:r>
        <w:rPr>
          <w:rFonts w:hint="eastAsia" w:ascii="sans-serif" w:hAnsi="sans-serif" w:eastAsia="sans-serif" w:cs="sans-serif"/>
          <w:lang w:val="en-US" w:eastAsia="zh-CN"/>
        </w:rPr>
        <w:t>by</w:t>
      </w:r>
      <m:oMath>
        <m:sSub>
          <m:sSubPr>
            <m:ctrlPr>
              <w:rPr>
                <w:rFonts w:hint="default" w:ascii="DejaVu Math TeX Gyre" w:hAnsi="DejaVu Math TeX Gyre" w:eastAsia="sans-serif"/>
              </w:rPr>
            </m:ctrlPr>
          </m:sSubPr>
          <m:e>
            <m:r>
              <m:rPr/>
              <w:rPr>
                <w:rFonts w:hint="default" w:ascii="DejaVu Math TeX Gyre" w:hAnsi="DejaVu Math TeX Gyre" w:eastAsia="sans-serif"/>
                <w:lang w:val="en-US" w:eastAsia="zh-CN"/>
              </w:rPr>
              <m:t xml:space="preserve"> </m:t>
            </m:r>
            <m:r>
              <m:rPr/>
              <w:rPr>
                <w:rFonts w:hint="default" w:ascii="DejaVu Math TeX Gyre" w:hAnsi="DejaVu Math TeX Gyre" w:eastAsia="sans-serif"/>
              </w:rPr>
              <m:t>M</m:t>
            </m:r>
            <m:ctrlPr>
              <w:rPr>
                <w:rFonts w:ascii="DejaVu Math TeX Gyre" w:hAnsi="DejaVu Math TeX Gyre" w:eastAsia="sans-serif"/>
              </w:rPr>
            </m:ctrlPr>
          </m:e>
          <m:sub>
            <m:r>
              <m:rPr>
                <m:sty m:val="p"/>
              </m:rPr>
              <w:rPr>
                <w:rFonts w:hint="default" w:ascii="DejaVu Math TeX Gyre" w:hAnsi="DejaVu Math TeX Gyre" w:eastAsia="sans-serif"/>
              </w:rPr>
              <m:t>max</m:t>
            </m:r>
            <m:ctrlPr>
              <w:rPr>
                <w:rFonts w:ascii="DejaVu Math TeX Gyre" w:hAnsi="DejaVu Math TeX Gyre" w:eastAsia="sans-serif"/>
              </w:rPr>
            </m:ctrlPr>
          </m:sub>
        </m:sSub>
        <m:r>
          <m:rPr/>
          <w:rPr>
            <w:rFonts w:hint="default" w:ascii="DejaVu Math TeX Gyre" w:hAnsi="DejaVu Math TeX Gyre" w:eastAsia="sans-serif"/>
          </w:rPr>
          <m:t>=</m:t>
        </m:r>
        <m:f>
          <m:fPr>
            <m:ctrlPr>
              <w:rPr>
                <w:rFonts w:hint="default" w:ascii="DejaVu Math TeX Gyre" w:hAnsi="DejaVu Math TeX Gyre" w:eastAsia="sans-serif"/>
                <w:i/>
              </w:rPr>
            </m:ctrlPr>
          </m:fPr>
          <m:num>
            <m:sSub>
              <m:sSubPr>
                <m:ctrlPr>
                  <w:rPr>
                    <w:rFonts w:hint="default" w:ascii="DejaVu Math TeX Gyre" w:hAnsi="DejaVu Math TeX Gyre" w:eastAsia="sans-serif"/>
                  </w:rPr>
                </m:ctrlPr>
              </m:sSubPr>
              <m:e>
                <m:r>
                  <m:rPr/>
                  <w:rPr>
                    <w:rFonts w:hint="default" w:ascii="DejaVu Math TeX Gyre" w:hAnsi="DejaVu Math TeX Gyre" w:eastAsia="sans-serif"/>
                  </w:rPr>
                  <m:t>P</m:t>
                </m:r>
                <m:ctrlPr>
                  <w:rPr>
                    <w:rFonts w:ascii="DejaVu Math TeX Gyre" w:hAnsi="DejaVu Math TeX Gyre" w:eastAsia="sans-serif"/>
                  </w:rPr>
                </m:ctrlPr>
              </m:e>
              <m:sub>
                <m:r>
                  <m:rPr>
                    <m:sty m:val="p"/>
                  </m:rPr>
                  <w:rPr>
                    <w:rFonts w:hint="default" w:ascii="DejaVu Math TeX Gyre" w:hAnsi="DejaVu Math TeX Gyre" w:eastAsia="sans-serif"/>
                  </w:rPr>
                  <m:t>max</m:t>
                </m:r>
                <m:ctrlPr>
                  <w:rPr>
                    <w:rFonts w:ascii="DejaVu Math TeX Gyre" w:hAnsi="DejaVu Math TeX Gyre" w:eastAsia="sans-serif"/>
                  </w:rPr>
                </m:ctrlPr>
              </m:sub>
            </m:sSub>
            <m:r>
              <m:rPr/>
              <w:rPr>
                <w:rFonts w:hint="default" w:ascii="DejaVu Math TeX Gyre" w:hAnsi="DejaVu Math TeX Gyre" w:eastAsia="sans-serif"/>
              </w:rPr>
              <m:t>L</m:t>
            </m:r>
            <m:ctrlPr>
              <w:rPr>
                <w:rFonts w:hint="default" w:ascii="DejaVu Math TeX Gyre" w:hAnsi="DejaVu Math TeX Gyre" w:eastAsia="sans-serif"/>
              </w:rPr>
            </m:ctrlPr>
          </m:num>
          <m:den>
            <m:r>
              <m:rPr/>
              <w:rPr>
                <w:rFonts w:hint="default" w:ascii="DejaVu Math TeX Gyre" w:hAnsi="DejaVu Math TeX Gyre" w:eastAsia="sans-serif"/>
              </w:rPr>
              <m:t>4</m:t>
            </m:r>
            <m:ctrlPr>
              <w:rPr>
                <w:rFonts w:hint="default" w:ascii="DejaVu Math TeX Gyre" w:hAnsi="DejaVu Math TeX Gyre" w:eastAsia="sans-serif"/>
              </w:rPr>
            </m:ctrlPr>
          </m:den>
        </m:f>
      </m:oMath>
    </w:p>
    <w:p w14:paraId="011FD27A">
      <w:pPr>
        <w:pStyle w:val="2"/>
        <w:keepNext w:val="0"/>
        <w:keepLines w:val="0"/>
        <w:widowControl/>
        <w:suppressLineNumbers w:val="0"/>
        <w:spacing w:before="0" w:beforeAutospacing="0" w:line="23" w:lineRule="atLeast"/>
        <w:rPr>
          <w:rFonts w:hint="default" w:ascii="sans-serif" w:hAnsi="sans-serif" w:eastAsia="sans-serif" w:cs="sans-serif"/>
          <w:highlight w:val="yellow"/>
        </w:rPr>
      </w:pPr>
      <w:r>
        <w:rPr>
          <w:rFonts w:hint="default" w:ascii="sans-serif" w:hAnsi="sans-serif" w:eastAsia="sans-serif" w:cs="sans-serif"/>
        </w:rPr>
        <w:t xml:space="preserve">at the mid-span of the specimen during the whole process. Then from the beam theory </w:t>
      </w:r>
      <m:oMath>
        <m:sSub>
          <m:sSubPr>
            <m:ctrlPr>
              <w:rPr>
                <w:rFonts w:hint="default" w:ascii="DejaVu Math TeX Gyre" w:hAnsi="DejaVu Math TeX Gyre" w:eastAsia="sans-serif"/>
              </w:rPr>
            </m:ctrlPr>
          </m:sSubPr>
          <m:e>
            <m:r>
              <m:rPr/>
              <w:rPr>
                <w:rFonts w:hint="default" w:ascii="DejaVu Math TeX Gyre" w:hAnsi="DejaVu Math TeX Gyre" w:eastAsia="sans-serif"/>
              </w:rPr>
              <m:t>σ</m:t>
            </m:r>
            <m:ctrlPr>
              <w:rPr>
                <w:rFonts w:ascii="DejaVu Math TeX Gyre" w:hAnsi="DejaVu Math TeX Gyre" w:eastAsia="sans-serif"/>
              </w:rPr>
            </m:ctrlPr>
          </m:e>
          <m:sub>
            <m:r>
              <m:rPr>
                <m:sty m:val="p"/>
              </m:rPr>
              <w:rPr>
                <w:rFonts w:hint="default" w:ascii="DejaVu Math TeX Gyre" w:hAnsi="DejaVu Math TeX Gyre" w:eastAsia="sans-serif"/>
              </w:rPr>
              <m:t>max</m:t>
            </m:r>
            <m:ctrlPr>
              <w:rPr>
                <w:rFonts w:ascii="DejaVu Math TeX Gyre" w:hAnsi="DejaVu Math TeX Gyre" w:eastAsia="sans-serif"/>
              </w:rPr>
            </m:ctrlPr>
          </m:sub>
        </m:sSub>
        <m:r>
          <m:rPr/>
          <w:rPr>
            <w:rFonts w:hint="default" w:ascii="DejaVu Math TeX Gyre" w:hAnsi="DejaVu Math TeX Gyre" w:eastAsia="sans-serif"/>
          </w:rPr>
          <m:t>=</m:t>
        </m:r>
        <m:f>
          <m:fPr>
            <m:ctrlPr>
              <w:rPr>
                <w:rFonts w:hint="default" w:ascii="DejaVu Math TeX Gyre" w:hAnsi="DejaVu Math TeX Gyre" w:eastAsia="sans-serif"/>
                <w:i/>
              </w:rPr>
            </m:ctrlPr>
          </m:fPr>
          <m:num>
            <m:sSub>
              <m:sSubPr>
                <m:ctrlPr>
                  <w:rPr>
                    <w:rFonts w:hint="default" w:ascii="DejaVu Math TeX Gyre" w:hAnsi="DejaVu Math TeX Gyre" w:eastAsia="sans-serif"/>
                  </w:rPr>
                </m:ctrlPr>
              </m:sSubPr>
              <m:e>
                <m:r>
                  <m:rPr/>
                  <w:rPr>
                    <w:rFonts w:hint="default" w:ascii="DejaVu Math TeX Gyre" w:hAnsi="DejaVu Math TeX Gyre" w:eastAsia="sans-serif"/>
                  </w:rPr>
                  <m:t>M</m:t>
                </m:r>
                <m:ctrlPr>
                  <w:rPr>
                    <w:rFonts w:ascii="DejaVu Math TeX Gyre" w:hAnsi="DejaVu Math TeX Gyre" w:eastAsia="sans-serif"/>
                  </w:rPr>
                </m:ctrlPr>
              </m:e>
              <m:sub>
                <m:r>
                  <m:rPr>
                    <m:sty m:val="p"/>
                  </m:rPr>
                  <w:rPr>
                    <w:rFonts w:hint="default" w:ascii="DejaVu Math TeX Gyre" w:hAnsi="DejaVu Math TeX Gyre" w:eastAsia="sans-serif"/>
                  </w:rPr>
                  <m:t>max</m:t>
                </m:r>
                <m:ctrlPr>
                  <w:rPr>
                    <w:rFonts w:ascii="DejaVu Math TeX Gyre" w:hAnsi="DejaVu Math TeX Gyre" w:eastAsia="sans-serif"/>
                  </w:rPr>
                </m:ctrlPr>
              </m:sub>
            </m:sSub>
            <m:r>
              <m:rPr/>
              <w:rPr>
                <w:rFonts w:hint="default" w:ascii="DejaVu Math TeX Gyre" w:hAnsi="DejaVu Math TeX Gyre" w:eastAsia="sans-serif"/>
              </w:rPr>
              <m:t>h</m:t>
            </m:r>
            <m:ctrlPr>
              <w:rPr>
                <w:rFonts w:hint="default" w:ascii="DejaVu Math TeX Gyre" w:hAnsi="DejaVu Math TeX Gyre" w:eastAsia="sans-serif"/>
              </w:rPr>
            </m:ctrlPr>
          </m:num>
          <m:den>
            <m:r>
              <m:rPr/>
              <w:rPr>
                <w:rFonts w:hint="default" w:ascii="DejaVu Math TeX Gyre" w:hAnsi="DejaVu Math TeX Gyre" w:eastAsia="sans-serif"/>
              </w:rPr>
              <m:t>2I</m:t>
            </m:r>
            <m:ctrlPr>
              <w:rPr>
                <w:rFonts w:hint="default" w:ascii="DejaVu Math TeX Gyre" w:hAnsi="DejaVu Math TeX Gyre" w:eastAsia="sans-serif"/>
              </w:rPr>
            </m:ctrlPr>
          </m:den>
        </m:f>
      </m:oMath>
      <w:r>
        <w:rPr>
          <w:rFonts w:hint="default" w:ascii="sans-serif" w:hAnsi="sans-serif" w:eastAsia="sans-serif" w:cs="sans-serif"/>
        </w:rPr>
        <w:t xml:space="preserve">, we calculate the maximum bending stress. The results are shown in Table 7. We have noted that the result[s] for the Young’s Modulus of both low carbon steel and cast iron are much smaller than what are shown in </w:t>
      </w:r>
      <w:r>
        <w:rPr>
          <w:rFonts w:hint="default" w:ascii="sans-serif" w:hAnsi="sans-serif" w:eastAsia="sans-serif" w:cs="sans-serif"/>
          <w:highlight w:val="none"/>
        </w:rPr>
        <w:t>Procedure 1.</w:t>
      </w:r>
    </w:p>
    <w:tbl>
      <w:tblPr>
        <w:tblStyle w:val="3"/>
        <w:tblW w:w="50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96"/>
        <w:gridCol w:w="1944"/>
        <w:gridCol w:w="2472"/>
        <w:gridCol w:w="2472"/>
      </w:tblGrid>
      <w:tr w14:paraId="2123152B">
        <w:trPr>
          <w:trHeight w:val="1035" w:hRule="atLeast"/>
        </w:trPr>
        <w:tc>
          <w:tcPr>
            <w:tcW w:w="1034" w:type="pct"/>
            <w:tcBorders>
              <w:top w:val="single" w:color="000000" w:sz="8" w:space="0"/>
              <w:left w:val="nil"/>
              <w:bottom w:val="single" w:color="000000" w:sz="8" w:space="0"/>
              <w:right w:val="single" w:color="000000" w:sz="4" w:space="0"/>
            </w:tcBorders>
            <w:shd w:val="clear" w:color="auto" w:fill="auto"/>
            <w:vAlign w:val="center"/>
          </w:tcPr>
          <w:p w14:paraId="5E610C51">
            <w:pPr>
              <w:keepNext w:val="0"/>
              <w:keepLines w:val="0"/>
              <w:widowControl/>
              <w:suppressLineNumbers w:val="0"/>
              <w:jc w:val="left"/>
              <w:rPr>
                <w:rFonts w:hint="default" w:eastAsia="宋体" w:cs="宋体" w:asciiTheme="minorAscii" w:hAnsiTheme="minorAscii"/>
                <w:b/>
                <w:bCs/>
                <w:i w:val="0"/>
                <w:iCs w:val="0"/>
                <w:color w:val="1B1C1D"/>
                <w:sz w:val="22"/>
                <w:szCs w:val="22"/>
                <w:u w:val="none"/>
              </w:rPr>
            </w:pPr>
            <w:r>
              <w:rPr>
                <w:rFonts w:ascii="TeXGyreTermesX-Regular" w:hAnsi="TeXGyreTermesX-Regular" w:eastAsia="TeXGyreTermesX-Regular" w:cs="TeXGyreTermesX-Regular"/>
                <w:color w:val="000000"/>
                <w:kern w:val="0"/>
                <w:sz w:val="19"/>
                <w:szCs w:val="19"/>
                <w:lang w:val="en-US" w:eastAsia="zh-CN" w:bidi="ar"/>
              </w:rPr>
              <w:t>Sample</w:t>
            </w:r>
          </w:p>
        </w:tc>
        <w:tc>
          <w:tcPr>
            <w:tcW w:w="1119"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D5FD272">
            <w:pPr>
              <w:keepNext w:val="0"/>
              <w:keepLines w:val="0"/>
              <w:widowControl/>
              <w:suppressLineNumbers w:val="0"/>
              <w:bidi w:val="0"/>
              <w:spacing w:before="0" w:beforeAutospacing="0" w:after="0" w:afterAutospacing="0" w:line="23" w:lineRule="atLeast"/>
              <w:ind w:left="0" w:leftChars="0" w:right="0" w:rightChars="0"/>
              <w:jc w:val="left"/>
              <w:rPr>
                <w:rFonts w:hint="default" w:eastAsia="宋体" w:cs="宋体" w:asciiTheme="minorAscii" w:hAnsiTheme="minorAscii"/>
                <w:b/>
                <w:bCs/>
                <w:i w:val="0"/>
                <w:iCs w:val="0"/>
                <w:color w:val="1B1C1D"/>
                <w:sz w:val="22"/>
                <w:szCs w:val="22"/>
                <w:u w:val="none"/>
                <w:lang w:val="en-US"/>
              </w:rPr>
            </w:pPr>
            <m:oMath>
              <m:sSub>
                <m:sSubPr>
                  <m:ctrlPr>
                    <w:rPr>
                      <w:rFonts w:hint="default" w:ascii="DejaVu Math TeX Gyre" w:hAnsi="DejaVu Math TeX Gyre" w:eastAsia="sans-serif"/>
                      <w:sz w:val="24"/>
                    </w:rPr>
                  </m:ctrlPr>
                </m:sSubPr>
                <m:e>
                  <m:r>
                    <m:rPr/>
                    <w:rPr>
                      <w:rFonts w:hint="default" w:ascii="DejaVu Math TeX Gyre" w:hAnsi="DejaVu Math TeX Gyre" w:eastAsia="sans-serif"/>
                      <w:sz w:val="24"/>
                    </w:rPr>
                    <m:t>P</m:t>
                  </m:r>
                  <m:ctrlPr>
                    <w:rPr>
                      <w:rFonts w:ascii="DejaVu Math TeX Gyre" w:hAnsi="DejaVu Math TeX Gyre" w:eastAsia="sans-serif"/>
                      <w:sz w:val="24"/>
                    </w:rPr>
                  </m:ctrlPr>
                </m:e>
                <m:sub>
                  <m:r>
                    <m:rPr>
                      <m:sty m:val="p"/>
                    </m:rPr>
                    <w:rPr>
                      <w:rFonts w:hint="default" w:ascii="DejaVu Math TeX Gyre" w:hAnsi="DejaVu Math TeX Gyre" w:eastAsia="sans-serif"/>
                      <w:sz w:val="24"/>
                    </w:rPr>
                    <m:t>max</m:t>
                  </m:r>
                  <m:ctrlPr>
                    <w:rPr>
                      <w:rFonts w:ascii="DejaVu Math TeX Gyre" w:hAnsi="DejaVu Math TeX Gyre" w:eastAsia="sans-serif"/>
                      <w:sz w:val="24"/>
                    </w:rPr>
                  </m:ctrlPr>
                </m:sub>
              </m:sSub>
            </m:oMath>
            <w:r>
              <w:rPr>
                <w:rStyle w:val="6"/>
                <w:rFonts w:hint="default" w:eastAsia="sans-serif" w:cs="sans-serif" w:asciiTheme="minorAscii" w:hAnsiTheme="minorAscii"/>
                <w:color w:val="1B1C1D"/>
                <w:kern w:val="0"/>
                <w:sz w:val="24"/>
                <w:szCs w:val="24"/>
                <w:lang w:val="en-US" w:eastAsia="zh-CN" w:bidi="ar"/>
              </w:rPr>
              <w:t xml:space="preserve"> </w:t>
            </w:r>
            <w:r>
              <w:rPr>
                <w:rFonts w:ascii="TeXGyreTermesX-Regular" w:hAnsi="TeXGyreTermesX-Regular" w:eastAsia="TeXGyreTermesX-Regular" w:cs="TeXGyreTermesX-Regular"/>
                <w:color w:val="000000"/>
                <w:kern w:val="0"/>
                <w:sz w:val="19"/>
                <w:szCs w:val="19"/>
                <w:lang w:val="en-US" w:eastAsia="zh-CN" w:bidi="ar"/>
              </w:rPr>
              <w:t>(N)</w:t>
            </w:r>
          </w:p>
        </w:tc>
        <w:tc>
          <w:tcPr>
            <w:tcW w:w="142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061331A8">
            <w:pPr>
              <w:keepNext w:val="0"/>
              <w:keepLines w:val="0"/>
              <w:widowControl/>
              <w:suppressLineNumbers w:val="0"/>
              <w:jc w:val="left"/>
              <w:rPr>
                <w:rFonts w:hint="default" w:eastAsia="宋体" w:cs="宋体" w:asciiTheme="minorAscii" w:hAnsiTheme="minorAscii"/>
                <w:b/>
                <w:bCs/>
                <w:i w:val="0"/>
                <w:iCs w:val="0"/>
                <w:color w:val="1B1C1D"/>
                <w:sz w:val="22"/>
                <w:szCs w:val="22"/>
                <w:u w:val="none"/>
              </w:rPr>
            </w:pPr>
            <w:r>
              <w:rPr>
                <w:rFonts w:ascii="TeXGyreTermesX-Regular" w:hAnsi="TeXGyreTermesX-Regular" w:eastAsia="TeXGyreTermesX-Regular" w:cs="TeXGyreTermesX-Regular"/>
                <w:color w:val="000000"/>
                <w:kern w:val="0"/>
                <w:sz w:val="19"/>
                <w:szCs w:val="19"/>
                <w:lang w:val="en-US" w:eastAsia="zh-CN" w:bidi="ar"/>
              </w:rPr>
              <w:t>Stiffness (N/mm)</w:t>
            </w:r>
          </w:p>
        </w:tc>
        <w:tc>
          <w:tcPr>
            <w:tcW w:w="1423" w:type="pct"/>
            <w:tcBorders>
              <w:top w:val="single" w:color="000000" w:sz="8" w:space="0"/>
              <w:left w:val="single" w:color="000000" w:sz="4" w:space="0"/>
              <w:bottom w:val="single" w:color="000000" w:sz="8" w:space="0"/>
              <w:right w:val="nil"/>
            </w:tcBorders>
            <w:shd w:val="clear" w:color="auto" w:fill="auto"/>
            <w:vAlign w:val="center"/>
          </w:tcPr>
          <w:p w14:paraId="781B4218">
            <w:pPr>
              <w:keepNext w:val="0"/>
              <w:keepLines w:val="0"/>
              <w:widowControl/>
              <w:suppressLineNumbers w:val="0"/>
              <w:jc w:val="left"/>
              <w:rPr>
                <w:rStyle w:val="6"/>
                <w:rFonts w:hint="default" w:eastAsia="sans-serif" w:cs="sans-serif" w:asciiTheme="minorAscii" w:hAnsiTheme="minorAscii"/>
                <w:color w:val="1B1C1D"/>
                <w:kern w:val="0"/>
                <w:sz w:val="24"/>
                <w:szCs w:val="24"/>
                <w:lang w:val="en-US" w:eastAsia="zh-CN" w:bidi="ar"/>
              </w:rPr>
            </w:pPr>
            <w:r>
              <w:rPr>
                <w:rFonts w:ascii="TeXGyreTermesX-Regular" w:hAnsi="TeXGyreTermesX-Regular" w:eastAsia="TeXGyreTermesX-Regular" w:cs="TeXGyreTermesX-Regular"/>
                <w:color w:val="000000"/>
                <w:kern w:val="0"/>
                <w:sz w:val="19"/>
                <w:szCs w:val="19"/>
                <w:lang w:val="en-US" w:eastAsia="zh-CN" w:bidi="ar"/>
              </w:rPr>
              <w:t>Young’s Modulus (GPa)</w:t>
            </w:r>
          </w:p>
        </w:tc>
      </w:tr>
      <w:tr w14:paraId="22978765">
        <w:trPr>
          <w:trHeight w:val="355" w:hRule="atLeast"/>
        </w:trPr>
        <w:tc>
          <w:tcPr>
            <w:tcW w:w="1034" w:type="pct"/>
            <w:tcBorders>
              <w:top w:val="single" w:color="000000" w:sz="8" w:space="0"/>
              <w:left w:val="nil"/>
              <w:bottom w:val="nil"/>
              <w:right w:val="single" w:color="000000" w:sz="4" w:space="0"/>
            </w:tcBorders>
            <w:shd w:val="clear" w:color="auto" w:fill="auto"/>
            <w:vAlign w:val="center"/>
          </w:tcPr>
          <w:p w14:paraId="3D6FB0F9">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Iron 1</w:t>
            </w:r>
          </w:p>
        </w:tc>
        <w:tc>
          <w:tcPr>
            <w:tcW w:w="1119" w:type="pct"/>
            <w:tcBorders>
              <w:top w:val="single" w:color="000000" w:sz="8" w:space="0"/>
              <w:left w:val="single" w:color="000000" w:sz="4" w:space="0"/>
              <w:bottom w:val="nil"/>
              <w:right w:val="single" w:color="000000" w:sz="4" w:space="0"/>
            </w:tcBorders>
            <w:shd w:val="clear" w:color="auto" w:fill="auto"/>
            <w:vAlign w:val="center"/>
          </w:tcPr>
          <w:p w14:paraId="6E9E7A07">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1108.48</w:t>
            </w:r>
          </w:p>
        </w:tc>
        <w:tc>
          <w:tcPr>
            <w:tcW w:w="1423" w:type="pct"/>
            <w:tcBorders>
              <w:top w:val="single" w:color="000000" w:sz="8" w:space="0"/>
              <w:left w:val="single" w:color="000000" w:sz="4" w:space="0"/>
              <w:bottom w:val="nil"/>
              <w:right w:val="single" w:color="000000" w:sz="4" w:space="0"/>
            </w:tcBorders>
            <w:shd w:val="clear" w:color="auto" w:fill="auto"/>
            <w:vAlign w:val="center"/>
          </w:tcPr>
          <w:p w14:paraId="02FBDCDF">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1071.38</w:t>
            </w:r>
          </w:p>
        </w:tc>
        <w:tc>
          <w:tcPr>
            <w:tcW w:w="1423" w:type="pct"/>
            <w:tcBorders>
              <w:top w:val="single" w:color="000000" w:sz="8" w:space="0"/>
              <w:left w:val="single" w:color="000000" w:sz="4" w:space="0"/>
              <w:bottom w:val="nil"/>
              <w:right w:val="nil"/>
            </w:tcBorders>
            <w:shd w:val="clear" w:color="auto" w:fill="auto"/>
            <w:vAlign w:val="center"/>
          </w:tcPr>
          <w:p w14:paraId="29C28CC3">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26.78</w:t>
            </w:r>
          </w:p>
        </w:tc>
      </w:tr>
      <w:tr w14:paraId="227B0B61">
        <w:trPr>
          <w:trHeight w:val="355" w:hRule="atLeast"/>
        </w:trPr>
        <w:tc>
          <w:tcPr>
            <w:tcW w:w="1034" w:type="pct"/>
            <w:tcBorders>
              <w:top w:val="nil"/>
              <w:left w:val="nil"/>
              <w:bottom w:val="nil"/>
              <w:right w:val="single" w:color="000000" w:sz="4" w:space="0"/>
            </w:tcBorders>
            <w:shd w:val="clear" w:color="auto" w:fill="auto"/>
            <w:vAlign w:val="center"/>
          </w:tcPr>
          <w:p w14:paraId="483104EC">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Iron 2</w:t>
            </w:r>
          </w:p>
        </w:tc>
        <w:tc>
          <w:tcPr>
            <w:tcW w:w="1119" w:type="pct"/>
            <w:tcBorders>
              <w:top w:val="nil"/>
              <w:left w:val="single" w:color="000000" w:sz="4" w:space="0"/>
              <w:bottom w:val="nil"/>
              <w:right w:val="single" w:color="000000" w:sz="4" w:space="0"/>
            </w:tcBorders>
            <w:shd w:val="clear" w:color="auto" w:fill="auto"/>
            <w:vAlign w:val="center"/>
          </w:tcPr>
          <w:p w14:paraId="2F954E44">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1024.03</w:t>
            </w:r>
          </w:p>
        </w:tc>
        <w:tc>
          <w:tcPr>
            <w:tcW w:w="1423" w:type="pct"/>
            <w:tcBorders>
              <w:top w:val="nil"/>
              <w:left w:val="single" w:color="000000" w:sz="4" w:space="0"/>
              <w:bottom w:val="nil"/>
              <w:right w:val="single" w:color="000000" w:sz="4" w:space="0"/>
            </w:tcBorders>
            <w:shd w:val="clear" w:color="auto" w:fill="auto"/>
            <w:vAlign w:val="center"/>
          </w:tcPr>
          <w:p w14:paraId="49B2E56A">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959.73</w:t>
            </w:r>
          </w:p>
        </w:tc>
        <w:tc>
          <w:tcPr>
            <w:tcW w:w="1423" w:type="pct"/>
            <w:tcBorders>
              <w:top w:val="nil"/>
              <w:left w:val="single" w:color="000000" w:sz="4" w:space="0"/>
              <w:bottom w:val="nil"/>
              <w:right w:val="nil"/>
            </w:tcBorders>
            <w:shd w:val="clear" w:color="auto" w:fill="auto"/>
            <w:vAlign w:val="center"/>
          </w:tcPr>
          <w:p w14:paraId="22FBA6FD">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23.99</w:t>
            </w:r>
          </w:p>
        </w:tc>
      </w:tr>
      <w:tr w14:paraId="2FDC6E09">
        <w:trPr>
          <w:trHeight w:val="355" w:hRule="atLeast"/>
        </w:trPr>
        <w:tc>
          <w:tcPr>
            <w:tcW w:w="1034" w:type="pct"/>
            <w:tcBorders>
              <w:top w:val="nil"/>
              <w:left w:val="nil"/>
              <w:bottom w:val="nil"/>
              <w:right w:val="single" w:color="000000" w:sz="4" w:space="0"/>
            </w:tcBorders>
            <w:shd w:val="clear" w:color="auto" w:fill="auto"/>
            <w:vAlign w:val="center"/>
          </w:tcPr>
          <w:p w14:paraId="4F4CE02A">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Iron 3</w:t>
            </w:r>
          </w:p>
        </w:tc>
        <w:tc>
          <w:tcPr>
            <w:tcW w:w="1119" w:type="pct"/>
            <w:tcBorders>
              <w:top w:val="nil"/>
              <w:left w:val="single" w:color="000000" w:sz="4" w:space="0"/>
              <w:bottom w:val="nil"/>
              <w:right w:val="single" w:color="000000" w:sz="4" w:space="0"/>
            </w:tcBorders>
            <w:shd w:val="clear" w:color="auto" w:fill="auto"/>
            <w:vAlign w:val="center"/>
          </w:tcPr>
          <w:p w14:paraId="31684F9A">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1000.63</w:t>
            </w:r>
          </w:p>
        </w:tc>
        <w:tc>
          <w:tcPr>
            <w:tcW w:w="1423" w:type="pct"/>
            <w:tcBorders>
              <w:top w:val="nil"/>
              <w:left w:val="single" w:color="000000" w:sz="4" w:space="0"/>
              <w:bottom w:val="nil"/>
              <w:right w:val="single" w:color="000000" w:sz="4" w:space="0"/>
            </w:tcBorders>
            <w:shd w:val="clear" w:color="auto" w:fill="auto"/>
            <w:vAlign w:val="center"/>
          </w:tcPr>
          <w:p w14:paraId="4612241D">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971.43</w:t>
            </w:r>
          </w:p>
        </w:tc>
        <w:tc>
          <w:tcPr>
            <w:tcW w:w="1423" w:type="pct"/>
            <w:tcBorders>
              <w:top w:val="nil"/>
              <w:left w:val="single" w:color="000000" w:sz="4" w:space="0"/>
              <w:bottom w:val="nil"/>
              <w:right w:val="nil"/>
            </w:tcBorders>
            <w:shd w:val="clear" w:color="auto" w:fill="auto"/>
            <w:vAlign w:val="center"/>
          </w:tcPr>
          <w:p w14:paraId="38842133">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24.29</w:t>
            </w:r>
          </w:p>
        </w:tc>
      </w:tr>
      <w:tr w14:paraId="77FC9F9C">
        <w:trPr>
          <w:trHeight w:val="355" w:hRule="atLeast"/>
        </w:trPr>
        <w:tc>
          <w:tcPr>
            <w:tcW w:w="1034" w:type="pct"/>
            <w:tcBorders>
              <w:top w:val="nil"/>
              <w:left w:val="nil"/>
              <w:bottom w:val="single" w:color="000000" w:sz="4" w:space="0"/>
              <w:right w:val="single" w:color="000000" w:sz="4" w:space="0"/>
            </w:tcBorders>
            <w:shd w:val="clear" w:color="auto" w:fill="auto"/>
            <w:vAlign w:val="center"/>
          </w:tcPr>
          <w:p w14:paraId="5BAACE3D">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Iron 4</w:t>
            </w:r>
          </w:p>
        </w:tc>
        <w:tc>
          <w:tcPr>
            <w:tcW w:w="1119" w:type="pct"/>
            <w:tcBorders>
              <w:top w:val="nil"/>
              <w:left w:val="single" w:color="000000" w:sz="4" w:space="0"/>
              <w:bottom w:val="single" w:color="000000" w:sz="4" w:space="0"/>
              <w:right w:val="single" w:color="000000" w:sz="4" w:space="0"/>
            </w:tcBorders>
            <w:shd w:val="clear" w:color="auto" w:fill="auto"/>
            <w:vAlign w:val="center"/>
          </w:tcPr>
          <w:p w14:paraId="02C9EB42">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1000.04</w:t>
            </w:r>
          </w:p>
        </w:tc>
        <w:tc>
          <w:tcPr>
            <w:tcW w:w="1423" w:type="pct"/>
            <w:tcBorders>
              <w:top w:val="nil"/>
              <w:left w:val="single" w:color="000000" w:sz="4" w:space="0"/>
              <w:bottom w:val="single" w:color="000000" w:sz="4" w:space="0"/>
              <w:right w:val="single" w:color="000000" w:sz="4" w:space="0"/>
            </w:tcBorders>
            <w:shd w:val="clear" w:color="auto" w:fill="auto"/>
            <w:vAlign w:val="center"/>
          </w:tcPr>
          <w:p w14:paraId="0063AB97">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1009.95</w:t>
            </w:r>
          </w:p>
        </w:tc>
        <w:tc>
          <w:tcPr>
            <w:tcW w:w="1423" w:type="pct"/>
            <w:tcBorders>
              <w:top w:val="nil"/>
              <w:left w:val="single" w:color="000000" w:sz="4" w:space="0"/>
              <w:bottom w:val="single" w:color="000000" w:sz="4" w:space="0"/>
              <w:right w:val="nil"/>
            </w:tcBorders>
            <w:shd w:val="clear" w:color="auto" w:fill="auto"/>
            <w:vAlign w:val="center"/>
          </w:tcPr>
          <w:p w14:paraId="563378CC">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25.25</w:t>
            </w:r>
          </w:p>
        </w:tc>
      </w:tr>
      <w:tr w14:paraId="578A225B">
        <w:trPr>
          <w:trHeight w:val="355" w:hRule="atLeast"/>
        </w:trPr>
        <w:tc>
          <w:tcPr>
            <w:tcW w:w="1034" w:type="pct"/>
            <w:tcBorders>
              <w:top w:val="single" w:color="000000" w:sz="4" w:space="0"/>
              <w:left w:val="nil"/>
              <w:bottom w:val="single" w:color="000000" w:sz="4" w:space="0"/>
              <w:right w:val="single" w:color="000000" w:sz="4" w:space="0"/>
            </w:tcBorders>
            <w:shd w:val="clear" w:color="auto" w:fill="auto"/>
            <w:vAlign w:val="center"/>
          </w:tcPr>
          <w:p w14:paraId="0B3AAB8D">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Iron (</w:t>
            </w:r>
            <w:r>
              <w:rPr>
                <w:rFonts w:ascii="TeXGyreTermesX-Regular" w:hAnsi="TeXGyreTermesX-Regular" w:eastAsia="TeXGyreTermesX-Regular" w:cs="TeXGyreTermesX-Regular"/>
                <w:color w:val="000000"/>
                <w:kern w:val="0"/>
                <w:sz w:val="19"/>
                <w:szCs w:val="19"/>
                <w:lang w:val="en-US" w:eastAsia="zh-CN" w:bidi="ar"/>
              </w:rPr>
              <w:t>Average</w:t>
            </w:r>
            <w:r>
              <w:rPr>
                <w:rFonts w:hint="default" w:ascii="TeXGyreTermesX-Regular" w:hAnsi="TeXGyreTermesX-Regular" w:eastAsia="TeXGyreTermesX-Regular" w:cs="TeXGyreTermesX-Regular"/>
                <w:color w:val="000000"/>
                <w:kern w:val="0"/>
                <w:sz w:val="19"/>
                <w:szCs w:val="19"/>
                <w:lang w:val="en-US" w:eastAsia="zh-CN" w:bidi="ar"/>
              </w:rPr>
              <w:t>)</w:t>
            </w:r>
          </w:p>
        </w:tc>
        <w:tc>
          <w:tcPr>
            <w:tcW w:w="11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DB5D5C">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1033.30</w:t>
            </w:r>
          </w:p>
        </w:tc>
        <w:tc>
          <w:tcPr>
            <w:tcW w:w="1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1D0099">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1003.12</w:t>
            </w:r>
          </w:p>
        </w:tc>
        <w:tc>
          <w:tcPr>
            <w:tcW w:w="1423" w:type="pct"/>
            <w:tcBorders>
              <w:top w:val="single" w:color="000000" w:sz="4" w:space="0"/>
              <w:left w:val="single" w:color="000000" w:sz="4" w:space="0"/>
              <w:bottom w:val="single" w:color="000000" w:sz="4" w:space="0"/>
              <w:right w:val="nil"/>
            </w:tcBorders>
            <w:shd w:val="clear" w:color="auto" w:fill="auto"/>
            <w:vAlign w:val="center"/>
          </w:tcPr>
          <w:p w14:paraId="17871A99">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25.08</w:t>
            </w:r>
          </w:p>
        </w:tc>
      </w:tr>
      <w:tr w14:paraId="0A554357">
        <w:trPr>
          <w:trHeight w:val="355" w:hRule="atLeast"/>
        </w:trPr>
        <w:tc>
          <w:tcPr>
            <w:tcW w:w="1034" w:type="pct"/>
            <w:tcBorders>
              <w:top w:val="single" w:color="000000" w:sz="4" w:space="0"/>
              <w:left w:val="nil"/>
              <w:bottom w:val="nil"/>
              <w:right w:val="single" w:color="000000" w:sz="4" w:space="0"/>
            </w:tcBorders>
            <w:shd w:val="clear" w:color="auto" w:fill="auto"/>
            <w:vAlign w:val="center"/>
          </w:tcPr>
          <w:p w14:paraId="718A7480">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Steel 1</w:t>
            </w:r>
          </w:p>
        </w:tc>
        <w:tc>
          <w:tcPr>
            <w:tcW w:w="1119" w:type="pct"/>
            <w:tcBorders>
              <w:top w:val="single" w:color="000000" w:sz="4" w:space="0"/>
              <w:left w:val="single" w:color="000000" w:sz="4" w:space="0"/>
              <w:bottom w:val="nil"/>
              <w:right w:val="single" w:color="000000" w:sz="4" w:space="0"/>
            </w:tcBorders>
            <w:shd w:val="clear" w:color="auto" w:fill="auto"/>
            <w:vAlign w:val="center"/>
          </w:tcPr>
          <w:p w14:paraId="03927A73">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2813.09</w:t>
            </w:r>
          </w:p>
        </w:tc>
        <w:tc>
          <w:tcPr>
            <w:tcW w:w="1423" w:type="pct"/>
            <w:tcBorders>
              <w:top w:val="single" w:color="000000" w:sz="4" w:space="0"/>
              <w:left w:val="single" w:color="000000" w:sz="4" w:space="0"/>
              <w:bottom w:val="nil"/>
              <w:right w:val="single" w:color="000000" w:sz="4" w:space="0"/>
            </w:tcBorders>
            <w:shd w:val="clear" w:color="auto" w:fill="auto"/>
            <w:vAlign w:val="center"/>
          </w:tcPr>
          <w:p w14:paraId="128CCFCE">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2279.78</w:t>
            </w:r>
          </w:p>
        </w:tc>
        <w:tc>
          <w:tcPr>
            <w:tcW w:w="1423" w:type="pct"/>
            <w:tcBorders>
              <w:top w:val="single" w:color="000000" w:sz="4" w:space="0"/>
              <w:left w:val="single" w:color="000000" w:sz="4" w:space="0"/>
              <w:bottom w:val="nil"/>
              <w:right w:val="nil"/>
            </w:tcBorders>
            <w:shd w:val="clear" w:color="auto" w:fill="auto"/>
            <w:vAlign w:val="center"/>
          </w:tcPr>
          <w:p w14:paraId="2B7B8973">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56.99</w:t>
            </w:r>
          </w:p>
        </w:tc>
      </w:tr>
      <w:tr w14:paraId="0A110EA6">
        <w:trPr>
          <w:trHeight w:val="355" w:hRule="atLeast"/>
        </w:trPr>
        <w:tc>
          <w:tcPr>
            <w:tcW w:w="1034" w:type="pct"/>
            <w:tcBorders>
              <w:top w:val="nil"/>
              <w:left w:val="nil"/>
              <w:bottom w:val="nil"/>
              <w:right w:val="single" w:color="000000" w:sz="4" w:space="0"/>
            </w:tcBorders>
            <w:shd w:val="clear" w:color="auto" w:fill="auto"/>
            <w:vAlign w:val="center"/>
          </w:tcPr>
          <w:p w14:paraId="43CB4B60">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Steel 2</w:t>
            </w:r>
          </w:p>
        </w:tc>
        <w:tc>
          <w:tcPr>
            <w:tcW w:w="1119" w:type="pct"/>
            <w:tcBorders>
              <w:top w:val="nil"/>
              <w:left w:val="single" w:color="000000" w:sz="4" w:space="0"/>
              <w:bottom w:val="nil"/>
              <w:right w:val="single" w:color="000000" w:sz="4" w:space="0"/>
            </w:tcBorders>
            <w:shd w:val="clear" w:color="auto" w:fill="auto"/>
            <w:vAlign w:val="center"/>
          </w:tcPr>
          <w:p w14:paraId="3868C823">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2826.47</w:t>
            </w:r>
          </w:p>
        </w:tc>
        <w:tc>
          <w:tcPr>
            <w:tcW w:w="1423" w:type="pct"/>
            <w:tcBorders>
              <w:top w:val="nil"/>
              <w:left w:val="single" w:color="000000" w:sz="4" w:space="0"/>
              <w:bottom w:val="nil"/>
              <w:right w:val="single" w:color="000000" w:sz="4" w:space="0"/>
            </w:tcBorders>
            <w:shd w:val="clear" w:color="auto" w:fill="auto"/>
            <w:vAlign w:val="center"/>
          </w:tcPr>
          <w:p w14:paraId="00366C45">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2211.56</w:t>
            </w:r>
          </w:p>
        </w:tc>
        <w:tc>
          <w:tcPr>
            <w:tcW w:w="1423" w:type="pct"/>
            <w:tcBorders>
              <w:top w:val="nil"/>
              <w:left w:val="single" w:color="000000" w:sz="4" w:space="0"/>
              <w:bottom w:val="nil"/>
              <w:right w:val="nil"/>
            </w:tcBorders>
            <w:shd w:val="clear" w:color="auto" w:fill="auto"/>
            <w:vAlign w:val="center"/>
          </w:tcPr>
          <w:p w14:paraId="54B4766F">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55.29</w:t>
            </w:r>
          </w:p>
        </w:tc>
      </w:tr>
      <w:tr w14:paraId="4F8D2466">
        <w:trPr>
          <w:trHeight w:val="355" w:hRule="atLeast"/>
        </w:trPr>
        <w:tc>
          <w:tcPr>
            <w:tcW w:w="1034" w:type="pct"/>
            <w:tcBorders>
              <w:top w:val="nil"/>
              <w:left w:val="nil"/>
              <w:bottom w:val="nil"/>
              <w:right w:val="single" w:color="000000" w:sz="4" w:space="0"/>
            </w:tcBorders>
            <w:shd w:val="clear" w:color="auto" w:fill="auto"/>
            <w:vAlign w:val="center"/>
          </w:tcPr>
          <w:p w14:paraId="6348B637">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Steel 3</w:t>
            </w:r>
          </w:p>
        </w:tc>
        <w:tc>
          <w:tcPr>
            <w:tcW w:w="1119" w:type="pct"/>
            <w:tcBorders>
              <w:top w:val="nil"/>
              <w:left w:val="single" w:color="000000" w:sz="4" w:space="0"/>
              <w:bottom w:val="nil"/>
              <w:right w:val="single" w:color="000000" w:sz="4" w:space="0"/>
            </w:tcBorders>
            <w:shd w:val="clear" w:color="auto" w:fill="auto"/>
            <w:vAlign w:val="center"/>
          </w:tcPr>
          <w:p w14:paraId="61067930">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2822.14</w:t>
            </w:r>
          </w:p>
        </w:tc>
        <w:tc>
          <w:tcPr>
            <w:tcW w:w="1423" w:type="pct"/>
            <w:tcBorders>
              <w:top w:val="nil"/>
              <w:left w:val="single" w:color="000000" w:sz="4" w:space="0"/>
              <w:bottom w:val="nil"/>
              <w:right w:val="single" w:color="000000" w:sz="4" w:space="0"/>
            </w:tcBorders>
            <w:shd w:val="clear" w:color="auto" w:fill="auto"/>
            <w:vAlign w:val="center"/>
          </w:tcPr>
          <w:p w14:paraId="1B3BDD2C">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2313.14</w:t>
            </w:r>
          </w:p>
        </w:tc>
        <w:tc>
          <w:tcPr>
            <w:tcW w:w="1423" w:type="pct"/>
            <w:tcBorders>
              <w:top w:val="nil"/>
              <w:left w:val="single" w:color="000000" w:sz="4" w:space="0"/>
              <w:bottom w:val="nil"/>
              <w:right w:val="nil"/>
            </w:tcBorders>
            <w:shd w:val="clear" w:color="auto" w:fill="auto"/>
            <w:vAlign w:val="center"/>
          </w:tcPr>
          <w:p w14:paraId="1A9F5F82">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57.83</w:t>
            </w:r>
          </w:p>
        </w:tc>
      </w:tr>
      <w:tr w14:paraId="4B79E68C">
        <w:trPr>
          <w:trHeight w:val="355" w:hRule="atLeast"/>
        </w:trPr>
        <w:tc>
          <w:tcPr>
            <w:tcW w:w="1034" w:type="pct"/>
            <w:tcBorders>
              <w:top w:val="nil"/>
              <w:left w:val="nil"/>
              <w:bottom w:val="single" w:color="000000" w:sz="4" w:space="0"/>
              <w:right w:val="single" w:color="000000" w:sz="4" w:space="0"/>
            </w:tcBorders>
            <w:shd w:val="clear" w:color="auto" w:fill="auto"/>
            <w:vAlign w:val="center"/>
          </w:tcPr>
          <w:p w14:paraId="39AA6DB8">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Steel 4</w:t>
            </w:r>
          </w:p>
        </w:tc>
        <w:tc>
          <w:tcPr>
            <w:tcW w:w="1119" w:type="pct"/>
            <w:tcBorders>
              <w:top w:val="nil"/>
              <w:left w:val="single" w:color="000000" w:sz="4" w:space="0"/>
              <w:bottom w:val="single" w:color="000000" w:sz="4" w:space="0"/>
              <w:right w:val="single" w:color="000000" w:sz="4" w:space="0"/>
            </w:tcBorders>
            <w:shd w:val="clear" w:color="auto" w:fill="auto"/>
            <w:vAlign w:val="center"/>
          </w:tcPr>
          <w:p w14:paraId="73B15ADD">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2827.95</w:t>
            </w:r>
          </w:p>
        </w:tc>
        <w:tc>
          <w:tcPr>
            <w:tcW w:w="1423" w:type="pct"/>
            <w:tcBorders>
              <w:top w:val="nil"/>
              <w:left w:val="single" w:color="000000" w:sz="4" w:space="0"/>
              <w:bottom w:val="single" w:color="000000" w:sz="4" w:space="0"/>
              <w:right w:val="single" w:color="000000" w:sz="4" w:space="0"/>
            </w:tcBorders>
            <w:shd w:val="clear" w:color="auto" w:fill="auto"/>
            <w:vAlign w:val="center"/>
          </w:tcPr>
          <w:p w14:paraId="5DDE3C8B">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2328.58</w:t>
            </w:r>
          </w:p>
        </w:tc>
        <w:tc>
          <w:tcPr>
            <w:tcW w:w="1423" w:type="pct"/>
            <w:tcBorders>
              <w:top w:val="nil"/>
              <w:left w:val="single" w:color="000000" w:sz="4" w:space="0"/>
              <w:bottom w:val="single" w:color="000000" w:sz="4" w:space="0"/>
              <w:right w:val="nil"/>
            </w:tcBorders>
            <w:shd w:val="clear" w:color="auto" w:fill="auto"/>
            <w:vAlign w:val="center"/>
          </w:tcPr>
          <w:p w14:paraId="3C83D3BF">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58.21</w:t>
            </w:r>
          </w:p>
        </w:tc>
      </w:tr>
      <w:tr w14:paraId="4CC64566">
        <w:trPr>
          <w:trHeight w:val="355" w:hRule="atLeast"/>
        </w:trPr>
        <w:tc>
          <w:tcPr>
            <w:tcW w:w="1034" w:type="pct"/>
            <w:tcBorders>
              <w:top w:val="single" w:color="000000" w:sz="4" w:space="0"/>
              <w:left w:val="nil"/>
              <w:bottom w:val="single" w:color="000000" w:sz="8" w:space="0"/>
              <w:right w:val="single" w:color="000000" w:sz="4" w:space="0"/>
            </w:tcBorders>
            <w:shd w:val="clear" w:color="auto" w:fill="auto"/>
            <w:vAlign w:val="center"/>
          </w:tcPr>
          <w:p w14:paraId="432B1D85">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Steel (</w:t>
            </w:r>
            <w:r>
              <w:rPr>
                <w:rFonts w:ascii="TeXGyreTermesX-Regular" w:hAnsi="TeXGyreTermesX-Regular" w:eastAsia="TeXGyreTermesX-Regular" w:cs="TeXGyreTermesX-Regular"/>
                <w:color w:val="000000"/>
                <w:kern w:val="0"/>
                <w:sz w:val="19"/>
                <w:szCs w:val="19"/>
                <w:lang w:val="en-US" w:eastAsia="zh-CN" w:bidi="ar"/>
              </w:rPr>
              <w:t>Average</w:t>
            </w:r>
            <w:r>
              <w:rPr>
                <w:rFonts w:hint="default" w:ascii="TeXGyreTermesX-Regular" w:hAnsi="TeXGyreTermesX-Regular" w:eastAsia="TeXGyreTermesX-Regular" w:cs="TeXGyreTermesX-Regular"/>
                <w:color w:val="000000"/>
                <w:kern w:val="0"/>
                <w:sz w:val="19"/>
                <w:szCs w:val="19"/>
                <w:lang w:val="en-US" w:eastAsia="zh-CN" w:bidi="ar"/>
              </w:rPr>
              <w:t>)</w:t>
            </w:r>
          </w:p>
        </w:tc>
        <w:tc>
          <w:tcPr>
            <w:tcW w:w="1119" w:type="pct"/>
            <w:tcBorders>
              <w:top w:val="single" w:color="000000" w:sz="4" w:space="0"/>
              <w:left w:val="single" w:color="000000" w:sz="4" w:space="0"/>
              <w:bottom w:val="single" w:color="000000" w:sz="8" w:space="0"/>
              <w:right w:val="single" w:color="000000" w:sz="4" w:space="0"/>
            </w:tcBorders>
            <w:shd w:val="clear" w:color="auto" w:fill="auto"/>
            <w:vAlign w:val="center"/>
          </w:tcPr>
          <w:p w14:paraId="60F67F47">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2822.41</w:t>
            </w:r>
          </w:p>
        </w:tc>
        <w:tc>
          <w:tcPr>
            <w:tcW w:w="1423" w:type="pct"/>
            <w:tcBorders>
              <w:top w:val="single" w:color="000000" w:sz="4" w:space="0"/>
              <w:left w:val="single" w:color="000000" w:sz="4" w:space="0"/>
              <w:bottom w:val="single" w:color="000000" w:sz="8" w:space="0"/>
              <w:right w:val="single" w:color="000000" w:sz="4" w:space="0"/>
            </w:tcBorders>
            <w:shd w:val="clear" w:color="auto" w:fill="auto"/>
            <w:vAlign w:val="center"/>
          </w:tcPr>
          <w:p w14:paraId="1BA6F683">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2283.27</w:t>
            </w:r>
          </w:p>
        </w:tc>
        <w:tc>
          <w:tcPr>
            <w:tcW w:w="1423" w:type="pct"/>
            <w:tcBorders>
              <w:top w:val="single" w:color="000000" w:sz="4" w:space="0"/>
              <w:left w:val="single" w:color="000000" w:sz="4" w:space="0"/>
              <w:bottom w:val="single" w:color="000000" w:sz="8" w:space="0"/>
              <w:right w:val="nil"/>
            </w:tcBorders>
            <w:shd w:val="clear" w:color="auto" w:fill="auto"/>
            <w:vAlign w:val="center"/>
          </w:tcPr>
          <w:p w14:paraId="6A0C6241">
            <w:pPr>
              <w:keepNext w:val="0"/>
              <w:keepLines w:val="0"/>
              <w:widowControl/>
              <w:suppressLineNumbers w:val="0"/>
              <w:jc w:val="left"/>
              <w:rPr>
                <w:rFonts w:hint="default" w:ascii="TeXGyreTermesX-Regular" w:hAnsi="TeXGyreTermesX-Regular" w:eastAsia="TeXGyreTermesX-Regular" w:cs="TeXGyreTermesX-Regular"/>
                <w:color w:val="000000"/>
                <w:kern w:val="0"/>
                <w:sz w:val="19"/>
                <w:szCs w:val="19"/>
                <w:lang w:val="en-US" w:eastAsia="zh-CN" w:bidi="ar"/>
              </w:rPr>
            </w:pPr>
            <w:r>
              <w:rPr>
                <w:rFonts w:hint="default" w:ascii="TeXGyreTermesX-Regular" w:hAnsi="TeXGyreTermesX-Regular" w:eastAsia="TeXGyreTermesX-Regular" w:cs="TeXGyreTermesX-Regular"/>
                <w:color w:val="000000"/>
                <w:kern w:val="0"/>
                <w:sz w:val="19"/>
                <w:szCs w:val="19"/>
                <w:lang w:val="en-US" w:eastAsia="zh-CN" w:bidi="ar"/>
              </w:rPr>
              <w:t>57.08</w:t>
            </w:r>
          </w:p>
        </w:tc>
      </w:tr>
    </w:tbl>
    <w:p w14:paraId="485EE30D">
      <w:pPr>
        <w:pStyle w:val="2"/>
        <w:keepNext w:val="0"/>
        <w:keepLines w:val="0"/>
        <w:widowControl/>
        <w:suppressLineNumbers w:val="0"/>
        <w:spacing w:before="0" w:beforeAutospacing="0" w:line="23" w:lineRule="atLeast"/>
        <w:rPr>
          <w:rFonts w:hint="default" w:ascii="sans-serif" w:hAnsi="sans-serif" w:eastAsia="sans-serif" w:cs="sans-serif"/>
          <w:highlight w:val="yellow"/>
        </w:rPr>
      </w:pPr>
    </w:p>
    <w:p w14:paraId="7C82EDBE">
      <w:pPr>
        <w:keepNext w:val="0"/>
        <w:keepLines w:val="0"/>
        <w:widowControl/>
        <w:suppressLineNumbers w:val="0"/>
        <w:jc w:val="left"/>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According to the t-test results, we can confirm that the Young's moduli of the two metal materials measured by the three-point bending method exhibit significant differences from those obtained via the tensile method. As shown in the following figure, the p-values of both materials are less than 0.01, which confirms the validity of our observation: the Young's modulus measured by the three-point bending method is lower than that measured by the tensile method.</w:t>
      </w:r>
    </w:p>
    <w:p w14:paraId="11C3AC10">
      <w:pPr>
        <w:pStyle w:val="2"/>
        <w:keepNext w:val="0"/>
        <w:keepLines w:val="0"/>
        <w:widowControl/>
        <w:suppressLineNumbers w:val="0"/>
        <w:spacing w:before="0" w:beforeAutospacing="0" w:line="23" w:lineRule="atLeast"/>
        <w:rPr>
          <w:rFonts w:hint="eastAsia" w:ascii="sans-serif" w:hAnsi="sans-serif" w:eastAsia="sans-serif" w:cs="sans-serif"/>
          <w:highlight w:val="yellow"/>
          <w:lang w:eastAsia="zh-CN"/>
        </w:rPr>
      </w:pPr>
      <w:r>
        <w:rPr>
          <w:rFonts w:hint="eastAsia" w:ascii="sans-serif" w:hAnsi="sans-serif" w:eastAsia="sans-serif" w:cs="sans-serif"/>
          <w:highlight w:val="none"/>
          <w:lang w:eastAsia="zh-CN"/>
        </w:rPr>
        <w:drawing>
          <wp:inline distT="0" distB="0" distL="114300" distR="114300">
            <wp:extent cx="2529205" cy="2168525"/>
            <wp:effectExtent l="0" t="0" r="10795" b="15875"/>
            <wp:docPr id="2" name="图片 2" descr="steel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eelttest"/>
                    <pic:cNvPicPr>
                      <a:picLocks noChangeAspect="1"/>
                    </pic:cNvPicPr>
                  </pic:nvPicPr>
                  <pic:blipFill>
                    <a:blip r:embed="rId4"/>
                    <a:stretch>
                      <a:fillRect/>
                    </a:stretch>
                  </pic:blipFill>
                  <pic:spPr>
                    <a:xfrm>
                      <a:off x="0" y="0"/>
                      <a:ext cx="2529205" cy="2168525"/>
                    </a:xfrm>
                    <a:prstGeom prst="rect">
                      <a:avLst/>
                    </a:prstGeom>
                  </pic:spPr>
                </pic:pic>
              </a:graphicData>
            </a:graphic>
          </wp:inline>
        </w:drawing>
      </w:r>
      <w:r>
        <w:rPr>
          <w:rFonts w:hint="default"/>
          <w:lang w:val="en-US" w:eastAsia="zh-CN"/>
        </w:rPr>
        <w:drawing>
          <wp:inline distT="0" distB="0" distL="114300" distR="114300">
            <wp:extent cx="2509520" cy="2151380"/>
            <wp:effectExtent l="0" t="0" r="5080" b="7620"/>
            <wp:docPr id="1" name="图片 1" descr="iron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ronttest"/>
                    <pic:cNvPicPr>
                      <a:picLocks noChangeAspect="1"/>
                    </pic:cNvPicPr>
                  </pic:nvPicPr>
                  <pic:blipFill>
                    <a:blip r:embed="rId5"/>
                    <a:stretch>
                      <a:fillRect/>
                    </a:stretch>
                  </pic:blipFill>
                  <pic:spPr>
                    <a:xfrm>
                      <a:off x="0" y="0"/>
                      <a:ext cx="2509520" cy="2151380"/>
                    </a:xfrm>
                    <a:prstGeom prst="rect">
                      <a:avLst/>
                    </a:prstGeom>
                  </pic:spPr>
                </pic:pic>
              </a:graphicData>
            </a:graphic>
          </wp:inline>
        </w:drawing>
      </w:r>
    </w:p>
    <w:p w14:paraId="02E08060">
      <w:pPr>
        <w:bidi w:val="0"/>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ans-serif">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eXGyreTermesX-Regular">
    <w:altName w:val="苹方-简"/>
    <w:panose1 w:val="00000000000000000000"/>
    <w:charset w:val="00"/>
    <w:family w:val="auto"/>
    <w:pitch w:val="default"/>
    <w:sig w:usb0="00000000" w:usb1="00000000" w:usb2="00000000" w:usb3="00000000" w:csb0="00000000" w:csb1="00000000"/>
  </w:font>
  <w:font w:name="NewTXMI">
    <w:altName w:val="苹方-简"/>
    <w:panose1 w:val="00000000000000000000"/>
    <w:charset w:val="00"/>
    <w:family w:val="auto"/>
    <w:pitch w:val="default"/>
    <w:sig w:usb0="00000000" w:usb1="00000000" w:usb2="00000000" w:usb3="00000000" w:csb0="00000000" w:csb1="00000000"/>
  </w:font>
  <w:font w:name="NewTXMI7">
    <w:altName w:val="苹方-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Hiragino Sans GB">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7B0E0"/>
    <w:rsid w:val="3DFF0CB0"/>
    <w:rsid w:val="79FFDBCD"/>
    <w:rsid w:val="7EF7B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62</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2025-10-24T15:51:00Z</dcterms:created>
  <dc:creator>曦</dc:creator>
  <cp:lastModifiedBy>曦</cp:lastModifiedBy>
  <dcterms:modified xsi:type="dcterms:W3CDTF">2025-10-31T22:36:54Z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A3D11893F369E009FC4EFA68AC1B6DD4_41</vt:lpwstr>
  </property>
</Properties>
</file>