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429F0" w14:textId="77777777" w:rsidR="00C52674" w:rsidRDefault="00000000">
      <w:pPr>
        <w:spacing w:before="320" w:after="80"/>
      </w:pPr>
      <w:r>
        <w:rPr>
          <w:b/>
          <w:color w:val="2E74B5"/>
        </w:rPr>
        <w:t>PAPER REVIEW</w:t>
      </w:r>
    </w:p>
    <w:p w14:paraId="1249A04D" w14:textId="68AC156A" w:rsidR="00C52674" w:rsidRPr="005C7010" w:rsidRDefault="00000000">
      <w:pPr>
        <w:spacing w:after="100"/>
        <w:rPr>
          <w:rFonts w:eastAsia="宋体"/>
          <w:lang w:eastAsia="zh-CN"/>
        </w:rPr>
      </w:pPr>
      <w:r>
        <w:rPr>
          <w:b/>
          <w:color w:val="17365D"/>
          <w:sz w:val="46"/>
        </w:rPr>
        <w:t>CTR-GCN and SkeletonX:</w:t>
      </w:r>
    </w:p>
    <w:p w14:paraId="01A4C4EE" w14:textId="1BEECC82" w:rsidR="00C52674" w:rsidRPr="009B4A45" w:rsidRDefault="00000000">
      <w:pPr>
        <w:pStyle w:val="1"/>
        <w:rPr>
          <w:rFonts w:eastAsia="宋体"/>
          <w:lang w:eastAsia="zh-CN"/>
        </w:rPr>
      </w:pPr>
      <w:r>
        <w:t xml:space="preserve">1. </w:t>
      </w:r>
      <w:r w:rsidR="009B4A45" w:rsidRPr="009B4A45">
        <w:rPr>
          <w:rFonts w:eastAsia="宋体" w:hint="eastAsia"/>
          <w:lang w:eastAsia="zh-CN"/>
        </w:rPr>
        <w:t>Two</w:t>
      </w:r>
      <w:r w:rsidR="009B4A45">
        <w:rPr>
          <w:rFonts w:eastAsia="宋体" w:hint="eastAsia"/>
          <w:lang w:eastAsia="zh-CN"/>
        </w:rPr>
        <w:t xml:space="preserve"> </w:t>
      </w:r>
      <w:r w:rsidR="009B4A45">
        <w:rPr>
          <w:rFonts w:eastAsia="宋体"/>
          <w:lang w:eastAsia="zh-CN"/>
        </w:rPr>
        <w:t>papers’</w:t>
      </w:r>
      <w:r w:rsidR="009B4A45">
        <w:rPr>
          <w:rFonts w:eastAsia="宋体" w:hint="eastAsia"/>
          <w:lang w:eastAsia="zh-CN"/>
        </w:rPr>
        <w:t xml:space="preserve"> </w:t>
      </w:r>
      <w:r w:rsidR="009B4A45">
        <w:rPr>
          <w:rFonts w:eastAsia="宋体"/>
          <w:lang w:eastAsia="zh-CN"/>
        </w:rPr>
        <w:t>importance</w:t>
      </w:r>
    </w:p>
    <w:p w14:paraId="2923995B" w14:textId="77777777" w:rsidR="00C52674" w:rsidRDefault="00000000">
      <w:pPr>
        <w:keepLines/>
      </w:pPr>
      <w:r>
        <w:t>Our charter is mainly about a representation problem in two-person skeleton action recognition: if a model treats the two people separately and then simply averages their features, it may recognise general movement but lose who did what to whom. That matters for interaction classes such as pushing, hitting, giving, taking, following, or supporting.</w:t>
      </w:r>
    </w:p>
    <w:p w14:paraId="55BF090E" w14:textId="77777777" w:rsidR="00C52674" w:rsidRDefault="00000000">
      <w:pPr>
        <w:keepLines/>
      </w:pPr>
      <w:r>
        <w:t>CTR-GCN and SkeletonX are useful references because they show two different ways to improve skeleton recognition. CTR-GCN improves the GCN backbone itself. SkeletonX improves how training samples and learned features are combined when data are limited. They are related, but they are not competing versions of the same idea.</w:t>
      </w:r>
    </w:p>
    <w:p w14:paraId="1CCB50FE" w14:textId="77777777" w:rsidR="00C52674" w:rsidRDefault="00000000">
      <w:pPr>
        <w:keepLines/>
      </w:pPr>
      <w:r>
        <w:t>The most important point for our project is also a limitation shared by both papers: neither one explicitly keeps the two within-clip person instances and their directional relationship all the way to the final classifier. So they are relevant baselines, but not complete solutions to our research question.</w:t>
      </w:r>
    </w:p>
    <w:p w14:paraId="3EEED579" w14:textId="77777777" w:rsidR="00C52674" w:rsidRDefault="00000000">
      <w:pPr>
        <w:pStyle w:val="1"/>
      </w:pPr>
      <w:r>
        <w:t>2. CTR-GCN Review</w:t>
      </w:r>
    </w:p>
    <w:p w14:paraId="6B805B72" w14:textId="77777777" w:rsidR="00C52674" w:rsidRDefault="00000000">
      <w:pPr>
        <w:pStyle w:val="21"/>
      </w:pPr>
      <w:r>
        <w:t>2.1 Main idea</w:t>
      </w:r>
    </w:p>
    <w:p w14:paraId="3641121C" w14:textId="77777777" w:rsidR="00C52674" w:rsidRDefault="00000000">
      <w:pPr>
        <w:keepLines/>
      </w:pPr>
      <w:r>
        <w:t>CTR-GCN stands for Channel-wise Topology Refinement Graph Convolutional Network. Its main argument is straightforward: a fixed human-body graph is useful, but one shared graph is too restrictive because different feature channels may need different joint relationships. For example, one channel may focus on the arm chain, while another may focus on the relationship between the hand and the head.</w:t>
      </w:r>
    </w:p>
    <w:p w14:paraId="79609303" w14:textId="77777777" w:rsidR="00C52674" w:rsidRDefault="00000000">
      <w:pPr>
        <w:keepLines/>
      </w:pPr>
      <w:r>
        <w:t>CTR-GC starts from a shared topology A and adds a sample-dependent, channel-specific refinement Qc:</w:t>
      </w:r>
    </w:p>
    <w:p w14:paraId="08F4C7F0" w14:textId="77777777" w:rsidR="00C52674" w:rsidRDefault="00000000">
      <w:pPr>
        <w:spacing w:before="60"/>
        <w:jc w:val="center"/>
      </w:pPr>
      <w:r>
        <w:rPr>
          <w:rFonts w:ascii="Cambria Math" w:hAnsi="Cambria Math"/>
          <w:i/>
          <w:color w:val="17365D"/>
          <w:sz w:val="23"/>
        </w:rPr>
        <w:t>R_c = A + αQ_c</w:t>
      </w:r>
    </w:p>
    <w:p w14:paraId="31A700C1" w14:textId="77777777" w:rsidR="00C52674" w:rsidRDefault="00000000">
      <w:pPr>
        <w:keepLines/>
      </w:pPr>
      <w:r>
        <w:t>In other words, the model keeps the known physical skeleton as a useful starting point, but it can adjust the graph for each sample and each output channel. The network also uses multi-scale temporal convolution, so it can capture motion patterns that happen over different time ranges.</w:t>
      </w:r>
    </w:p>
    <w:p w14:paraId="6ED4B949" w14:textId="77777777" w:rsidR="00C52674" w:rsidRDefault="00000000">
      <w:pPr>
        <w:pStyle w:val="21"/>
      </w:pPr>
      <w:r>
        <w:t>2.2 What is useful for our project</w:t>
      </w:r>
    </w:p>
    <w:p w14:paraId="71D5292A" w14:textId="77777777" w:rsidR="00C52674" w:rsidRDefault="00000000">
      <w:pPr>
        <w:pStyle w:val="a0"/>
        <w:spacing w:after="80"/>
        <w:ind w:left="720"/>
      </w:pPr>
      <w:r>
        <w:t>It already supports NTU-style input with a separate person dimension: B×C×T×V×M, where M is normally 2 for NTU RGB+D datasets.</w:t>
      </w:r>
    </w:p>
    <w:p w14:paraId="19993602" w14:textId="77777777" w:rsidR="00C52674" w:rsidRDefault="00000000">
      <w:pPr>
        <w:pStyle w:val="a0"/>
        <w:spacing w:after="80"/>
        <w:ind w:left="720"/>
      </w:pPr>
      <w:r>
        <w:t>Inside the backbone, the implementation reshapes the data so that each person is encoded separately with shared weights. This gives us meaningful per-person features before the final pooling step.</w:t>
      </w:r>
    </w:p>
    <w:p w14:paraId="25B9A70C" w14:textId="77777777" w:rsidR="00C52674" w:rsidRDefault="00000000">
      <w:pPr>
        <w:pStyle w:val="a0"/>
        <w:spacing w:after="80"/>
        <w:ind w:left="720"/>
      </w:pPr>
      <w:r>
        <w:t>Its dynamic topology is a strong way to model joints within each individual. That makes it a sensible backbone even though our project focuses on the relationship between people.</w:t>
      </w:r>
    </w:p>
    <w:p w14:paraId="5E4A334D" w14:textId="77777777" w:rsidR="00C52674" w:rsidRDefault="00000000">
      <w:pPr>
        <w:pStyle w:val="a0"/>
        <w:spacing w:after="80"/>
        <w:ind w:left="720"/>
      </w:pPr>
      <w:r>
        <w:lastRenderedPageBreak/>
        <w:t>Its temporal module is relevant to interaction phases such as approach, contact, reaction, and separation.</w:t>
      </w:r>
    </w:p>
    <w:p w14:paraId="5F9EF6CC" w14:textId="77777777" w:rsidR="00C52674" w:rsidRDefault="00000000">
      <w:pPr>
        <w:pStyle w:val="a0"/>
        <w:spacing w:after="80"/>
        <w:ind w:left="720"/>
      </w:pPr>
      <w:r>
        <w:t>The paper and code are well established on NTU RGB+D and NTU RGB+D 120, which makes comparison and reproduction more defensible.</w:t>
      </w:r>
    </w:p>
    <w:p w14:paraId="706EEA8A" w14:textId="77777777" w:rsidR="00C52674" w:rsidRDefault="00000000">
      <w:pPr>
        <w:pStyle w:val="21"/>
      </w:pPr>
      <w:r>
        <w:t>2.3 The limitation that matters most to us</w:t>
      </w:r>
    </w:p>
    <w:p w14:paraId="6A28A8B1" w14:textId="77777777" w:rsidR="00C52674" w:rsidRDefault="00000000">
      <w:pPr>
        <w:keepLines/>
      </w:pPr>
      <w:r>
        <w:t>CTR-GCN can accept two people, so it would be inaccurate to call it a single-person-only model. The real issue is the final fusion. After the two people are encoded, their features are averaged:</w:t>
      </w:r>
    </w:p>
    <w:p w14:paraId="34DC722E" w14:textId="77777777" w:rsidR="00C52674" w:rsidRDefault="00000000">
      <w:pPr>
        <w:spacing w:before="60"/>
        <w:jc w:val="center"/>
      </w:pPr>
      <w:r>
        <w:rPr>
          <w:rFonts w:ascii="Cambria Math" w:hAnsi="Cambria Math"/>
          <w:i/>
          <w:color w:val="17365D"/>
          <w:sz w:val="23"/>
        </w:rPr>
        <w:t>h = (h₁ + h₂) / 2</w:t>
      </w:r>
    </w:p>
    <w:p w14:paraId="08152D6D" w14:textId="77777777" w:rsidR="00C52674" w:rsidRDefault="00000000">
      <w:pPr>
        <w:pStyle w:val="a0"/>
        <w:spacing w:after="80"/>
        <w:ind w:left="720"/>
      </w:pPr>
      <w:r>
        <w:t>Averaging is convenient and insensitive to whether the storage order is Person 1/Person 2 or Person 2/Person 1, but it also removes the distinction between the two instances.</w:t>
      </w:r>
    </w:p>
    <w:p w14:paraId="2F7C527D" w14:textId="77777777" w:rsidR="00C52674" w:rsidRDefault="00000000">
      <w:pPr>
        <w:pStyle w:val="a0"/>
        <w:spacing w:after="80"/>
        <w:ind w:left="720"/>
      </w:pPr>
      <w:r>
        <w:t>The graph mainly models joints within one person's skeleton; it does not explicitly add cross-person edges such as one person's hand to the other person's torso or head.</w:t>
      </w:r>
    </w:p>
    <w:p w14:paraId="4F755F79" w14:textId="77777777" w:rsidR="00C52674" w:rsidRDefault="00000000">
      <w:pPr>
        <w:pStyle w:val="a0"/>
        <w:spacing w:after="80"/>
        <w:ind w:left="720"/>
      </w:pPr>
      <w:r>
        <w:t>Relative position, distance, orientation, and velocity between the two people are not represented as dedicated interaction features.</w:t>
      </w:r>
    </w:p>
    <w:p w14:paraId="64DC8B88" w14:textId="77777777" w:rsidR="00C52674" w:rsidRDefault="00000000">
      <w:pPr>
        <w:pStyle w:val="a0"/>
        <w:spacing w:after="80"/>
        <w:ind w:left="720"/>
      </w:pPr>
      <w:r>
        <w:t>The paper evaluates action-recognition accuracy, not whether initiator and receiver information is preserved.</w:t>
      </w:r>
    </w:p>
    <w:p w14:paraId="7BE1D3CB" w14:textId="77777777" w:rsidR="00C52674" w:rsidRDefault="00000000">
      <w:pPr>
        <w:pStyle w:val="21"/>
      </w:pPr>
      <w:r>
        <w:t>2.4 Evidence from the paper</w:t>
      </w:r>
    </w:p>
    <w:p w14:paraId="21870876" w14:textId="77777777" w:rsidR="00C52674" w:rsidRDefault="00000000">
      <w:pPr>
        <w:keepLines/>
      </w:pPr>
      <w:r>
        <w:t>CTR-GCN reports strong results on the standard NTU benchmarks. The figures below are the paper's reported multi-stream results, so they show that the backbone is competitive; they are not a prediction of performance on our filtered interaction subset.</w:t>
      </w:r>
    </w:p>
    <w:tbl>
      <w:tblPr>
        <w:tblStyle w:val="aff1"/>
        <w:tblW w:w="9360" w:type="dxa"/>
        <w:tblInd w:w="120" w:type="dxa"/>
        <w:tblLayout w:type="fixed"/>
        <w:tblLook w:val="04A0" w:firstRow="1" w:lastRow="0" w:firstColumn="1" w:lastColumn="0" w:noHBand="0" w:noVBand="1"/>
      </w:tblPr>
      <w:tblGrid>
        <w:gridCol w:w="3000"/>
        <w:gridCol w:w="3360"/>
        <w:gridCol w:w="3000"/>
      </w:tblGrid>
      <w:tr w:rsidR="00C52674" w14:paraId="5B7114B4" w14:textId="77777777">
        <w:trPr>
          <w:cantSplit/>
          <w:tblHeader/>
        </w:trPr>
        <w:tc>
          <w:tcPr>
            <w:tcW w:w="3000" w:type="dxa"/>
            <w:shd w:val="clear" w:color="auto" w:fill="F2F4F7"/>
            <w:tcMar>
              <w:top w:w="80" w:type="dxa"/>
              <w:left w:w="120" w:type="dxa"/>
              <w:bottom w:w="80" w:type="dxa"/>
              <w:right w:w="120" w:type="dxa"/>
            </w:tcMar>
            <w:vAlign w:val="center"/>
          </w:tcPr>
          <w:p w14:paraId="545C5821" w14:textId="77777777" w:rsidR="00C52674" w:rsidRDefault="00000000">
            <w:pPr>
              <w:spacing w:after="0"/>
            </w:pPr>
            <w:r>
              <w:rPr>
                <w:b/>
                <w:color w:val="17365D"/>
                <w:sz w:val="18"/>
              </w:rPr>
              <w:t>Dataset</w:t>
            </w:r>
          </w:p>
        </w:tc>
        <w:tc>
          <w:tcPr>
            <w:tcW w:w="3360" w:type="dxa"/>
            <w:shd w:val="clear" w:color="auto" w:fill="F2F4F7"/>
            <w:tcMar>
              <w:top w:w="80" w:type="dxa"/>
              <w:left w:w="120" w:type="dxa"/>
              <w:bottom w:w="80" w:type="dxa"/>
              <w:right w:w="120" w:type="dxa"/>
            </w:tcMar>
            <w:vAlign w:val="center"/>
          </w:tcPr>
          <w:p w14:paraId="75ADCBD7" w14:textId="77777777" w:rsidR="00C52674" w:rsidRDefault="00000000">
            <w:pPr>
              <w:spacing w:after="0"/>
            </w:pPr>
            <w:r>
              <w:rPr>
                <w:b/>
                <w:color w:val="17365D"/>
                <w:sz w:val="18"/>
              </w:rPr>
              <w:t>Protocol</w:t>
            </w:r>
          </w:p>
        </w:tc>
        <w:tc>
          <w:tcPr>
            <w:tcW w:w="3000" w:type="dxa"/>
            <w:shd w:val="clear" w:color="auto" w:fill="F2F4F7"/>
            <w:tcMar>
              <w:top w:w="80" w:type="dxa"/>
              <w:left w:w="120" w:type="dxa"/>
              <w:bottom w:w="80" w:type="dxa"/>
              <w:right w:w="120" w:type="dxa"/>
            </w:tcMar>
            <w:vAlign w:val="center"/>
          </w:tcPr>
          <w:p w14:paraId="2771FFDA" w14:textId="77777777" w:rsidR="00C52674" w:rsidRDefault="00000000">
            <w:pPr>
              <w:spacing w:after="0"/>
            </w:pPr>
            <w:r>
              <w:rPr>
                <w:b/>
                <w:color w:val="17365D"/>
                <w:sz w:val="18"/>
              </w:rPr>
              <w:t>Reported Top-1</w:t>
            </w:r>
          </w:p>
        </w:tc>
      </w:tr>
      <w:tr w:rsidR="00C52674" w14:paraId="7E588FD7" w14:textId="77777777">
        <w:trPr>
          <w:cantSplit/>
        </w:trPr>
        <w:tc>
          <w:tcPr>
            <w:tcW w:w="3000" w:type="dxa"/>
            <w:tcMar>
              <w:top w:w="80" w:type="dxa"/>
              <w:left w:w="120" w:type="dxa"/>
              <w:bottom w:w="80" w:type="dxa"/>
              <w:right w:w="120" w:type="dxa"/>
            </w:tcMar>
            <w:vAlign w:val="center"/>
          </w:tcPr>
          <w:p w14:paraId="1C34144F" w14:textId="77777777" w:rsidR="00C52674" w:rsidRDefault="00000000">
            <w:pPr>
              <w:spacing w:after="0" w:line="252" w:lineRule="auto"/>
            </w:pPr>
            <w:r>
              <w:rPr>
                <w:sz w:val="18"/>
              </w:rPr>
              <w:t>NTU RGB+D 60</w:t>
            </w:r>
          </w:p>
        </w:tc>
        <w:tc>
          <w:tcPr>
            <w:tcW w:w="3360" w:type="dxa"/>
            <w:tcMar>
              <w:top w:w="80" w:type="dxa"/>
              <w:left w:w="120" w:type="dxa"/>
              <w:bottom w:w="80" w:type="dxa"/>
              <w:right w:w="120" w:type="dxa"/>
            </w:tcMar>
            <w:vAlign w:val="center"/>
          </w:tcPr>
          <w:p w14:paraId="14FBE927" w14:textId="77777777" w:rsidR="00C52674" w:rsidRDefault="00000000">
            <w:pPr>
              <w:spacing w:after="0" w:line="252" w:lineRule="auto"/>
            </w:pPr>
            <w:r>
              <w:rPr>
                <w:sz w:val="18"/>
              </w:rPr>
              <w:t>Cross-Subject</w:t>
            </w:r>
          </w:p>
        </w:tc>
        <w:tc>
          <w:tcPr>
            <w:tcW w:w="3000" w:type="dxa"/>
            <w:tcMar>
              <w:top w:w="80" w:type="dxa"/>
              <w:left w:w="120" w:type="dxa"/>
              <w:bottom w:w="80" w:type="dxa"/>
              <w:right w:w="120" w:type="dxa"/>
            </w:tcMar>
            <w:vAlign w:val="center"/>
          </w:tcPr>
          <w:p w14:paraId="1F2C3777" w14:textId="77777777" w:rsidR="00C52674" w:rsidRDefault="00000000">
            <w:pPr>
              <w:spacing w:after="0" w:line="252" w:lineRule="auto"/>
            </w:pPr>
            <w:r>
              <w:rPr>
                <w:sz w:val="18"/>
              </w:rPr>
              <w:t>92.4%</w:t>
            </w:r>
          </w:p>
        </w:tc>
      </w:tr>
      <w:tr w:rsidR="00C52674" w14:paraId="5E7DF265" w14:textId="77777777">
        <w:trPr>
          <w:cantSplit/>
        </w:trPr>
        <w:tc>
          <w:tcPr>
            <w:tcW w:w="3000" w:type="dxa"/>
            <w:tcMar>
              <w:top w:w="80" w:type="dxa"/>
              <w:left w:w="120" w:type="dxa"/>
              <w:bottom w:w="80" w:type="dxa"/>
              <w:right w:w="120" w:type="dxa"/>
            </w:tcMar>
            <w:vAlign w:val="center"/>
          </w:tcPr>
          <w:p w14:paraId="2693337A" w14:textId="77777777" w:rsidR="00C52674" w:rsidRDefault="00000000">
            <w:pPr>
              <w:spacing w:after="0" w:line="252" w:lineRule="auto"/>
            </w:pPr>
            <w:r>
              <w:rPr>
                <w:sz w:val="18"/>
              </w:rPr>
              <w:t>NTU RGB+D 60</w:t>
            </w:r>
          </w:p>
        </w:tc>
        <w:tc>
          <w:tcPr>
            <w:tcW w:w="3360" w:type="dxa"/>
            <w:tcMar>
              <w:top w:w="80" w:type="dxa"/>
              <w:left w:w="120" w:type="dxa"/>
              <w:bottom w:w="80" w:type="dxa"/>
              <w:right w:w="120" w:type="dxa"/>
            </w:tcMar>
            <w:vAlign w:val="center"/>
          </w:tcPr>
          <w:p w14:paraId="782A9945" w14:textId="77777777" w:rsidR="00C52674" w:rsidRDefault="00000000">
            <w:pPr>
              <w:spacing w:after="0" w:line="252" w:lineRule="auto"/>
            </w:pPr>
            <w:r>
              <w:rPr>
                <w:sz w:val="18"/>
              </w:rPr>
              <w:t>Cross-View</w:t>
            </w:r>
          </w:p>
        </w:tc>
        <w:tc>
          <w:tcPr>
            <w:tcW w:w="3000" w:type="dxa"/>
            <w:tcMar>
              <w:top w:w="80" w:type="dxa"/>
              <w:left w:w="120" w:type="dxa"/>
              <w:bottom w:w="80" w:type="dxa"/>
              <w:right w:w="120" w:type="dxa"/>
            </w:tcMar>
            <w:vAlign w:val="center"/>
          </w:tcPr>
          <w:p w14:paraId="1546F6FD" w14:textId="77777777" w:rsidR="00C52674" w:rsidRDefault="00000000">
            <w:pPr>
              <w:spacing w:after="0" w:line="252" w:lineRule="auto"/>
            </w:pPr>
            <w:r>
              <w:rPr>
                <w:sz w:val="18"/>
              </w:rPr>
              <w:t>96.8%</w:t>
            </w:r>
          </w:p>
        </w:tc>
      </w:tr>
      <w:tr w:rsidR="00C52674" w14:paraId="3FCE6B3E" w14:textId="77777777">
        <w:trPr>
          <w:cantSplit/>
        </w:trPr>
        <w:tc>
          <w:tcPr>
            <w:tcW w:w="3000" w:type="dxa"/>
            <w:tcMar>
              <w:top w:w="80" w:type="dxa"/>
              <w:left w:w="120" w:type="dxa"/>
              <w:bottom w:w="80" w:type="dxa"/>
              <w:right w:w="120" w:type="dxa"/>
            </w:tcMar>
            <w:vAlign w:val="center"/>
          </w:tcPr>
          <w:p w14:paraId="20C8E628" w14:textId="77777777" w:rsidR="00C52674" w:rsidRDefault="00000000">
            <w:pPr>
              <w:spacing w:after="0" w:line="252" w:lineRule="auto"/>
            </w:pPr>
            <w:r>
              <w:rPr>
                <w:sz w:val="18"/>
              </w:rPr>
              <w:t>NTU RGB+D 120</w:t>
            </w:r>
          </w:p>
        </w:tc>
        <w:tc>
          <w:tcPr>
            <w:tcW w:w="3360" w:type="dxa"/>
            <w:tcMar>
              <w:top w:w="80" w:type="dxa"/>
              <w:left w:w="120" w:type="dxa"/>
              <w:bottom w:w="80" w:type="dxa"/>
              <w:right w:w="120" w:type="dxa"/>
            </w:tcMar>
            <w:vAlign w:val="center"/>
          </w:tcPr>
          <w:p w14:paraId="563261B9" w14:textId="77777777" w:rsidR="00C52674" w:rsidRDefault="00000000">
            <w:pPr>
              <w:spacing w:after="0" w:line="252" w:lineRule="auto"/>
            </w:pPr>
            <w:r>
              <w:rPr>
                <w:sz w:val="18"/>
              </w:rPr>
              <w:t>Cross-Subject</w:t>
            </w:r>
          </w:p>
        </w:tc>
        <w:tc>
          <w:tcPr>
            <w:tcW w:w="3000" w:type="dxa"/>
            <w:tcMar>
              <w:top w:w="80" w:type="dxa"/>
              <w:left w:w="120" w:type="dxa"/>
              <w:bottom w:w="80" w:type="dxa"/>
              <w:right w:w="120" w:type="dxa"/>
            </w:tcMar>
            <w:vAlign w:val="center"/>
          </w:tcPr>
          <w:p w14:paraId="65DBE433" w14:textId="77777777" w:rsidR="00C52674" w:rsidRDefault="00000000">
            <w:pPr>
              <w:spacing w:after="0" w:line="252" w:lineRule="auto"/>
            </w:pPr>
            <w:r>
              <w:rPr>
                <w:sz w:val="18"/>
              </w:rPr>
              <w:t>88.9%</w:t>
            </w:r>
          </w:p>
        </w:tc>
      </w:tr>
      <w:tr w:rsidR="00C52674" w14:paraId="1E438DD2" w14:textId="77777777">
        <w:trPr>
          <w:cantSplit/>
        </w:trPr>
        <w:tc>
          <w:tcPr>
            <w:tcW w:w="3000" w:type="dxa"/>
            <w:tcMar>
              <w:top w:w="80" w:type="dxa"/>
              <w:left w:w="120" w:type="dxa"/>
              <w:bottom w:w="80" w:type="dxa"/>
              <w:right w:w="120" w:type="dxa"/>
            </w:tcMar>
            <w:vAlign w:val="center"/>
          </w:tcPr>
          <w:p w14:paraId="6CF506E2" w14:textId="77777777" w:rsidR="00C52674" w:rsidRDefault="00000000">
            <w:pPr>
              <w:spacing w:after="0" w:line="252" w:lineRule="auto"/>
            </w:pPr>
            <w:r>
              <w:rPr>
                <w:sz w:val="18"/>
              </w:rPr>
              <w:t>NTU RGB+D 120</w:t>
            </w:r>
          </w:p>
        </w:tc>
        <w:tc>
          <w:tcPr>
            <w:tcW w:w="3360" w:type="dxa"/>
            <w:tcMar>
              <w:top w:w="80" w:type="dxa"/>
              <w:left w:w="120" w:type="dxa"/>
              <w:bottom w:w="80" w:type="dxa"/>
              <w:right w:w="120" w:type="dxa"/>
            </w:tcMar>
            <w:vAlign w:val="center"/>
          </w:tcPr>
          <w:p w14:paraId="0F15F262" w14:textId="77777777" w:rsidR="00C52674" w:rsidRDefault="00000000">
            <w:pPr>
              <w:spacing w:after="0" w:line="252" w:lineRule="auto"/>
            </w:pPr>
            <w:r>
              <w:rPr>
                <w:sz w:val="18"/>
              </w:rPr>
              <w:t>Cross-Setup</w:t>
            </w:r>
          </w:p>
        </w:tc>
        <w:tc>
          <w:tcPr>
            <w:tcW w:w="3000" w:type="dxa"/>
            <w:tcMar>
              <w:top w:w="80" w:type="dxa"/>
              <w:left w:w="120" w:type="dxa"/>
              <w:bottom w:w="80" w:type="dxa"/>
              <w:right w:w="120" w:type="dxa"/>
            </w:tcMar>
            <w:vAlign w:val="center"/>
          </w:tcPr>
          <w:p w14:paraId="58004AD4" w14:textId="77777777" w:rsidR="00C52674" w:rsidRDefault="00000000">
            <w:pPr>
              <w:spacing w:after="0" w:line="252" w:lineRule="auto"/>
            </w:pPr>
            <w:r>
              <w:rPr>
                <w:sz w:val="18"/>
              </w:rPr>
              <w:t>90.6%</w:t>
            </w:r>
          </w:p>
        </w:tc>
      </w:tr>
    </w:tbl>
    <w:p w14:paraId="20A46CDC" w14:textId="77777777" w:rsidR="00C52674" w:rsidRDefault="00C52674">
      <w:pPr>
        <w:spacing w:after="0"/>
      </w:pPr>
    </w:p>
    <w:p w14:paraId="5EF0F6E8" w14:textId="77777777" w:rsidR="00C52674" w:rsidRDefault="00000000">
      <w:pPr>
        <w:pStyle w:val="1"/>
      </w:pPr>
      <w:r>
        <w:t>3. SkeletonX Review</w:t>
      </w:r>
    </w:p>
    <w:p w14:paraId="5D3D0AF4" w14:textId="77777777" w:rsidR="00C52674" w:rsidRDefault="00000000">
      <w:pPr>
        <w:pStyle w:val="21"/>
      </w:pPr>
      <w:r>
        <w:t>3.1 Main idea</w:t>
      </w:r>
    </w:p>
    <w:p w14:paraId="09DA2955" w14:textId="77777777" w:rsidR="00C52674" w:rsidRDefault="00000000">
      <w:pPr>
        <w:keepLines/>
      </w:pPr>
      <w:r>
        <w:t>SkeletonX focuses on a different problem: how to learn useful skeleton representations when labelled training data are limited. Instead of designing a new GCN from scratch, it uses an existing GCN encoder, including CTR-GCN, and adds a sample-pairing and feature-aggregation training framework around it.</w:t>
      </w:r>
    </w:p>
    <w:p w14:paraId="11704A91" w14:textId="77777777" w:rsidR="00C52674" w:rsidRDefault="00000000">
      <w:pPr>
        <w:keepLines/>
      </w:pPr>
      <w:r>
        <w:t>It selects two meaningful types of sample pairs:</w:t>
      </w:r>
    </w:p>
    <w:p w14:paraId="1BE9685B" w14:textId="77777777" w:rsidR="00C52674" w:rsidRDefault="00000000">
      <w:pPr>
        <w:pStyle w:val="a0"/>
        <w:spacing w:after="80"/>
        <w:ind w:left="720"/>
      </w:pPr>
      <w:r>
        <w:t>DASP (Different Action, Same Performer): the performer stays the same, but the action changes.</w:t>
      </w:r>
    </w:p>
    <w:p w14:paraId="64553011" w14:textId="77777777" w:rsidR="00C52674" w:rsidRDefault="00000000">
      <w:pPr>
        <w:pStyle w:val="a0"/>
        <w:spacing w:after="80"/>
        <w:ind w:left="720"/>
      </w:pPr>
      <w:r>
        <w:t>SADP (Same Action, Different Performer): the action stays the same, but the performer changes.</w:t>
      </w:r>
    </w:p>
    <w:p w14:paraId="3321E12E" w14:textId="77777777" w:rsidR="00C52674" w:rsidRDefault="00000000">
      <w:pPr>
        <w:keepLines/>
      </w:pPr>
      <w:r>
        <w:lastRenderedPageBreak/>
        <w:t>The encoded feature is refined into a spatial-aware branch and a temporal-aware branch. SkeletonX then recombines branches within the same sample and across paired samples, and applies action-aware classification losses. The idea is to make the action representation less dependent on the performer and to create extra feature combinations without generating new raw skeleton sequences.</w:t>
      </w:r>
    </w:p>
    <w:p w14:paraId="35C875DB" w14:textId="77777777" w:rsidR="00C52674" w:rsidRDefault="00000000">
      <w:pPr>
        <w:pStyle w:val="21"/>
      </w:pPr>
      <w:r>
        <w:t>3.2 What is useful for our project</w:t>
      </w:r>
    </w:p>
    <w:p w14:paraId="665E2BB9" w14:textId="77777777" w:rsidR="00C52674" w:rsidRDefault="00000000">
      <w:pPr>
        <w:pStyle w:val="a0"/>
        <w:spacing w:after="80"/>
        <w:ind w:left="720"/>
      </w:pPr>
      <w:r>
        <w:t>SkeletonX officially uses CTR-GCN as one of its possible backbones, so the two methods can be combined rather than chosen as mutually exclusive models.</w:t>
      </w:r>
    </w:p>
    <w:p w14:paraId="45C037E4" w14:textId="77777777" w:rsidR="00C52674" w:rsidRDefault="00000000">
      <w:pPr>
        <w:pStyle w:val="a0"/>
        <w:spacing w:after="80"/>
        <w:ind w:left="720"/>
      </w:pPr>
      <w:r>
        <w:t>It gives us a recent reference for feature-level aggregation and data-efficient skeleton learning.</w:t>
      </w:r>
    </w:p>
    <w:p w14:paraId="7A2CFDF1" w14:textId="77777777" w:rsidR="00C52674" w:rsidRDefault="00000000">
      <w:pPr>
        <w:pStyle w:val="a0"/>
        <w:spacing w:after="80"/>
        <w:ind w:left="720"/>
      </w:pPr>
      <w:r>
        <w:t>Its simple concatenate-and-project aggregation is evidence that a lightweight feature-fusion method can work well when training data are limited.</w:t>
      </w:r>
    </w:p>
    <w:p w14:paraId="2B16F7C5" w14:textId="77777777" w:rsidR="00C52674" w:rsidRDefault="00000000">
      <w:pPr>
        <w:pStyle w:val="a0"/>
        <w:spacing w:after="80"/>
        <w:ind w:left="720"/>
      </w:pPr>
      <w:r>
        <w:t>Its ablation structure is useful as a paper-review example: pairing, refinement, and cross-sample aggregation are added step by step, which makes each contribution easier to interpret.</w:t>
      </w:r>
    </w:p>
    <w:p w14:paraId="2B2C05BA" w14:textId="77777777" w:rsidR="00C52674" w:rsidRDefault="00000000">
      <w:pPr>
        <w:pStyle w:val="a0"/>
        <w:spacing w:after="80"/>
        <w:ind w:left="720"/>
      </w:pPr>
      <w:r>
        <w:t>The limited-scale setting is relevant if our filtered two-person interaction subset is much smaller than the full NTU120 dataset.</w:t>
      </w:r>
    </w:p>
    <w:p w14:paraId="52E47D25" w14:textId="77777777" w:rsidR="00C52674" w:rsidRDefault="00000000">
      <w:pPr>
        <w:pStyle w:val="21"/>
      </w:pPr>
      <w:r>
        <w:t>3.3 Important limitation: performer identity is not our person-instance identity</w:t>
      </w:r>
    </w:p>
    <w:p w14:paraId="398D83C3" w14:textId="7FE50AB7" w:rsidR="00C52674" w:rsidRDefault="009B4A45">
      <w:pPr>
        <w:spacing w:after="0"/>
      </w:pPr>
      <w:r>
        <w:rPr>
          <w:b/>
          <w:color w:val="17365D"/>
          <w:sz w:val="21"/>
        </w:rPr>
        <w:t xml:space="preserve">Easy point to confuse: </w:t>
      </w:r>
      <w:r>
        <w:rPr>
          <w:color w:val="000000"/>
          <w:sz w:val="21"/>
        </w:rPr>
        <w:t>In SkeletonX, performer ID means the dataset-level subject identity used to pair different video samples. In our charter, person-instance identity means keeping the two people inside the same interaction clip separate. These are not the same thing.</w:t>
      </w:r>
    </w:p>
    <w:p w14:paraId="0504A51D" w14:textId="77777777" w:rsidR="00C52674" w:rsidRDefault="00000000">
      <w:pPr>
        <w:keepLines/>
      </w:pPr>
      <w:r>
        <w:t>SkeletonX describes the spatial branch as more performer-related and the temporal branch as more action-related. This is a reasonable inductive bias, but it is not a strict proof that the two types of information are completely disentangled. Spatial pose can still reveal the action, while temporal motion can still contain personal style.</w:t>
      </w:r>
    </w:p>
    <w:p w14:paraId="1E3EF1C6" w14:textId="77777777" w:rsidR="00C52674" w:rsidRDefault="00000000">
      <w:pPr>
        <w:keepLines/>
      </w:pPr>
      <w:r>
        <w:t>More importantly for us, SkeletonX still averages the person dimension in its standard pipeline. Its cross-sample aggregation mixes information from different training clips; it does not explicitly model the direction and geometry between Person 1 and Person 2 inside one clip. So it improves data efficiency, but it does not directly solve our main task.</w:t>
      </w:r>
    </w:p>
    <w:p w14:paraId="6FCE0128" w14:textId="77777777" w:rsidR="00C52674" w:rsidRDefault="00000000">
      <w:pPr>
        <w:pStyle w:val="21"/>
      </w:pPr>
      <w:r>
        <w:t>3.4 Evidence from the paper</w:t>
      </w:r>
    </w:p>
    <w:p w14:paraId="4D0F5FA1" w14:textId="77777777" w:rsidR="00C52674" w:rsidRDefault="00000000">
      <w:pPr>
        <w:keepLines/>
      </w:pPr>
      <w:r>
        <w:t>The ablation results below show why SkeletonX is worth considering as a strong comparison. These results use very limited training data (10 samples per class in the cited setting), so they should not be directly compared with CTR-GCN's full-data benchmark scores.</w:t>
      </w:r>
    </w:p>
    <w:tbl>
      <w:tblPr>
        <w:tblStyle w:val="aff1"/>
        <w:tblW w:w="9360" w:type="dxa"/>
        <w:tblInd w:w="120" w:type="dxa"/>
        <w:tblLayout w:type="fixed"/>
        <w:tblLook w:val="04A0" w:firstRow="1" w:lastRow="0" w:firstColumn="1" w:lastColumn="0" w:noHBand="0" w:noVBand="1"/>
      </w:tblPr>
      <w:tblGrid>
        <w:gridCol w:w="3600"/>
        <w:gridCol w:w="1920"/>
        <w:gridCol w:w="1920"/>
        <w:gridCol w:w="1920"/>
      </w:tblGrid>
      <w:tr w:rsidR="00C52674" w14:paraId="4D20608E" w14:textId="77777777">
        <w:trPr>
          <w:cantSplit/>
          <w:tblHeader/>
        </w:trPr>
        <w:tc>
          <w:tcPr>
            <w:tcW w:w="3600" w:type="dxa"/>
            <w:shd w:val="clear" w:color="auto" w:fill="F2F4F7"/>
            <w:tcMar>
              <w:top w:w="80" w:type="dxa"/>
              <w:left w:w="120" w:type="dxa"/>
              <w:bottom w:w="80" w:type="dxa"/>
              <w:right w:w="120" w:type="dxa"/>
            </w:tcMar>
            <w:vAlign w:val="center"/>
          </w:tcPr>
          <w:p w14:paraId="61D48651" w14:textId="77777777" w:rsidR="00C52674" w:rsidRDefault="00000000">
            <w:pPr>
              <w:spacing w:after="0"/>
            </w:pPr>
            <w:r>
              <w:rPr>
                <w:b/>
                <w:color w:val="17365D"/>
                <w:sz w:val="17"/>
              </w:rPr>
              <w:t>Method stage</w:t>
            </w:r>
          </w:p>
        </w:tc>
        <w:tc>
          <w:tcPr>
            <w:tcW w:w="1920" w:type="dxa"/>
            <w:shd w:val="clear" w:color="auto" w:fill="F2F4F7"/>
            <w:tcMar>
              <w:top w:w="80" w:type="dxa"/>
              <w:left w:w="120" w:type="dxa"/>
              <w:bottom w:w="80" w:type="dxa"/>
              <w:right w:w="120" w:type="dxa"/>
            </w:tcMar>
            <w:vAlign w:val="center"/>
          </w:tcPr>
          <w:p w14:paraId="3131C1AB" w14:textId="77777777" w:rsidR="00C52674" w:rsidRDefault="00000000">
            <w:pPr>
              <w:spacing w:after="0"/>
            </w:pPr>
            <w:r>
              <w:rPr>
                <w:b/>
                <w:color w:val="17365D"/>
                <w:sz w:val="17"/>
              </w:rPr>
              <w:t>NTU</w:t>
            </w:r>
          </w:p>
        </w:tc>
        <w:tc>
          <w:tcPr>
            <w:tcW w:w="1920" w:type="dxa"/>
            <w:shd w:val="clear" w:color="auto" w:fill="F2F4F7"/>
            <w:tcMar>
              <w:top w:w="80" w:type="dxa"/>
              <w:left w:w="120" w:type="dxa"/>
              <w:bottom w:w="80" w:type="dxa"/>
              <w:right w:w="120" w:type="dxa"/>
            </w:tcMar>
            <w:vAlign w:val="center"/>
          </w:tcPr>
          <w:p w14:paraId="5CDF9AB5" w14:textId="77777777" w:rsidR="00C52674" w:rsidRDefault="00000000">
            <w:pPr>
              <w:spacing w:after="0"/>
            </w:pPr>
            <w:r>
              <w:rPr>
                <w:b/>
                <w:color w:val="17365D"/>
                <w:sz w:val="17"/>
              </w:rPr>
              <w:t>NTU120</w:t>
            </w:r>
          </w:p>
        </w:tc>
        <w:tc>
          <w:tcPr>
            <w:tcW w:w="1920" w:type="dxa"/>
            <w:shd w:val="clear" w:color="auto" w:fill="F2F4F7"/>
            <w:tcMar>
              <w:top w:w="80" w:type="dxa"/>
              <w:left w:w="120" w:type="dxa"/>
              <w:bottom w:w="80" w:type="dxa"/>
              <w:right w:w="120" w:type="dxa"/>
            </w:tcMar>
            <w:vAlign w:val="center"/>
          </w:tcPr>
          <w:p w14:paraId="093EE694" w14:textId="77777777" w:rsidR="00C52674" w:rsidRDefault="00000000">
            <w:pPr>
              <w:spacing w:after="0"/>
            </w:pPr>
            <w:r>
              <w:rPr>
                <w:b/>
                <w:color w:val="17365D"/>
                <w:sz w:val="17"/>
              </w:rPr>
              <w:t>PKU-MMD II</w:t>
            </w:r>
          </w:p>
        </w:tc>
      </w:tr>
      <w:tr w:rsidR="00C52674" w14:paraId="7033A9A1" w14:textId="77777777">
        <w:trPr>
          <w:cantSplit/>
        </w:trPr>
        <w:tc>
          <w:tcPr>
            <w:tcW w:w="3600" w:type="dxa"/>
            <w:tcMar>
              <w:top w:w="80" w:type="dxa"/>
              <w:left w:w="120" w:type="dxa"/>
              <w:bottom w:w="80" w:type="dxa"/>
              <w:right w:w="120" w:type="dxa"/>
            </w:tcMar>
            <w:vAlign w:val="center"/>
          </w:tcPr>
          <w:p w14:paraId="6E25088A" w14:textId="77777777" w:rsidR="00C52674" w:rsidRDefault="00000000">
            <w:pPr>
              <w:spacing w:after="0" w:line="252" w:lineRule="auto"/>
            </w:pPr>
            <w:r>
              <w:rPr>
                <w:sz w:val="17"/>
              </w:rPr>
              <w:t>Baseline</w:t>
            </w:r>
          </w:p>
        </w:tc>
        <w:tc>
          <w:tcPr>
            <w:tcW w:w="1920" w:type="dxa"/>
            <w:tcMar>
              <w:top w:w="80" w:type="dxa"/>
              <w:left w:w="120" w:type="dxa"/>
              <w:bottom w:w="80" w:type="dxa"/>
              <w:right w:w="120" w:type="dxa"/>
            </w:tcMar>
            <w:vAlign w:val="center"/>
          </w:tcPr>
          <w:p w14:paraId="1DC597FC" w14:textId="77777777" w:rsidR="00C52674" w:rsidRDefault="00000000">
            <w:pPr>
              <w:spacing w:after="0" w:line="252" w:lineRule="auto"/>
            </w:pPr>
            <w:r>
              <w:rPr>
                <w:sz w:val="17"/>
              </w:rPr>
              <w:t>41.5%</w:t>
            </w:r>
          </w:p>
        </w:tc>
        <w:tc>
          <w:tcPr>
            <w:tcW w:w="1920" w:type="dxa"/>
            <w:tcMar>
              <w:top w:w="80" w:type="dxa"/>
              <w:left w:w="120" w:type="dxa"/>
              <w:bottom w:w="80" w:type="dxa"/>
              <w:right w:w="120" w:type="dxa"/>
            </w:tcMar>
            <w:vAlign w:val="center"/>
          </w:tcPr>
          <w:p w14:paraId="40647025" w14:textId="77777777" w:rsidR="00C52674" w:rsidRDefault="00000000">
            <w:pPr>
              <w:spacing w:after="0" w:line="252" w:lineRule="auto"/>
            </w:pPr>
            <w:r>
              <w:rPr>
                <w:sz w:val="17"/>
              </w:rPr>
              <w:t>19.7%</w:t>
            </w:r>
          </w:p>
        </w:tc>
        <w:tc>
          <w:tcPr>
            <w:tcW w:w="1920" w:type="dxa"/>
            <w:tcMar>
              <w:top w:w="80" w:type="dxa"/>
              <w:left w:w="120" w:type="dxa"/>
              <w:bottom w:w="80" w:type="dxa"/>
              <w:right w:w="120" w:type="dxa"/>
            </w:tcMar>
            <w:vAlign w:val="center"/>
          </w:tcPr>
          <w:p w14:paraId="682F0DDC" w14:textId="77777777" w:rsidR="00C52674" w:rsidRDefault="00000000">
            <w:pPr>
              <w:spacing w:after="0" w:line="252" w:lineRule="auto"/>
            </w:pPr>
            <w:r>
              <w:rPr>
                <w:sz w:val="17"/>
              </w:rPr>
              <w:t>28.5%</w:t>
            </w:r>
          </w:p>
        </w:tc>
      </w:tr>
      <w:tr w:rsidR="00C52674" w14:paraId="75B0ED63" w14:textId="77777777">
        <w:trPr>
          <w:cantSplit/>
        </w:trPr>
        <w:tc>
          <w:tcPr>
            <w:tcW w:w="3600" w:type="dxa"/>
            <w:tcMar>
              <w:top w:w="80" w:type="dxa"/>
              <w:left w:w="120" w:type="dxa"/>
              <w:bottom w:w="80" w:type="dxa"/>
              <w:right w:w="120" w:type="dxa"/>
            </w:tcMar>
            <w:vAlign w:val="center"/>
          </w:tcPr>
          <w:p w14:paraId="08FF773C" w14:textId="77777777" w:rsidR="00C52674" w:rsidRDefault="00000000">
            <w:pPr>
              <w:spacing w:after="0" w:line="252" w:lineRule="auto"/>
            </w:pPr>
            <w:r>
              <w:rPr>
                <w:sz w:val="17"/>
              </w:rPr>
              <w:t>+ semantic sample pairing</w:t>
            </w:r>
          </w:p>
        </w:tc>
        <w:tc>
          <w:tcPr>
            <w:tcW w:w="1920" w:type="dxa"/>
            <w:tcMar>
              <w:top w:w="80" w:type="dxa"/>
              <w:left w:w="120" w:type="dxa"/>
              <w:bottom w:w="80" w:type="dxa"/>
              <w:right w:w="120" w:type="dxa"/>
            </w:tcMar>
            <w:vAlign w:val="center"/>
          </w:tcPr>
          <w:p w14:paraId="4B8DE215" w14:textId="77777777" w:rsidR="00C52674" w:rsidRDefault="00000000">
            <w:pPr>
              <w:spacing w:after="0" w:line="252" w:lineRule="auto"/>
            </w:pPr>
            <w:r>
              <w:rPr>
                <w:sz w:val="17"/>
              </w:rPr>
              <w:t>46.4%</w:t>
            </w:r>
          </w:p>
        </w:tc>
        <w:tc>
          <w:tcPr>
            <w:tcW w:w="1920" w:type="dxa"/>
            <w:tcMar>
              <w:top w:w="80" w:type="dxa"/>
              <w:left w:w="120" w:type="dxa"/>
              <w:bottom w:w="80" w:type="dxa"/>
              <w:right w:w="120" w:type="dxa"/>
            </w:tcMar>
            <w:vAlign w:val="center"/>
          </w:tcPr>
          <w:p w14:paraId="1D271CB1" w14:textId="77777777" w:rsidR="00C52674" w:rsidRDefault="00000000">
            <w:pPr>
              <w:spacing w:after="0" w:line="252" w:lineRule="auto"/>
            </w:pPr>
            <w:r>
              <w:rPr>
                <w:sz w:val="17"/>
              </w:rPr>
              <w:t>23.6%</w:t>
            </w:r>
          </w:p>
        </w:tc>
        <w:tc>
          <w:tcPr>
            <w:tcW w:w="1920" w:type="dxa"/>
            <w:tcMar>
              <w:top w:w="80" w:type="dxa"/>
              <w:left w:w="120" w:type="dxa"/>
              <w:bottom w:w="80" w:type="dxa"/>
              <w:right w:w="120" w:type="dxa"/>
            </w:tcMar>
            <w:vAlign w:val="center"/>
          </w:tcPr>
          <w:p w14:paraId="00847CB5" w14:textId="77777777" w:rsidR="00C52674" w:rsidRDefault="00000000">
            <w:pPr>
              <w:spacing w:after="0" w:line="252" w:lineRule="auto"/>
            </w:pPr>
            <w:r>
              <w:rPr>
                <w:sz w:val="17"/>
              </w:rPr>
              <w:t>31.4%</w:t>
            </w:r>
          </w:p>
        </w:tc>
      </w:tr>
      <w:tr w:rsidR="00C52674" w14:paraId="5DD7E75F" w14:textId="77777777">
        <w:trPr>
          <w:cantSplit/>
        </w:trPr>
        <w:tc>
          <w:tcPr>
            <w:tcW w:w="3600" w:type="dxa"/>
            <w:tcMar>
              <w:top w:w="80" w:type="dxa"/>
              <w:left w:w="120" w:type="dxa"/>
              <w:bottom w:w="80" w:type="dxa"/>
              <w:right w:w="120" w:type="dxa"/>
            </w:tcMar>
            <w:vAlign w:val="center"/>
          </w:tcPr>
          <w:p w14:paraId="1F8FF3AB" w14:textId="77777777" w:rsidR="00C52674" w:rsidRDefault="00000000">
            <w:pPr>
              <w:spacing w:after="0" w:line="252" w:lineRule="auto"/>
            </w:pPr>
            <w:r>
              <w:rPr>
                <w:sz w:val="17"/>
              </w:rPr>
              <w:t>+ feature disentanglement</w:t>
            </w:r>
          </w:p>
        </w:tc>
        <w:tc>
          <w:tcPr>
            <w:tcW w:w="1920" w:type="dxa"/>
            <w:tcMar>
              <w:top w:w="80" w:type="dxa"/>
              <w:left w:w="120" w:type="dxa"/>
              <w:bottom w:w="80" w:type="dxa"/>
              <w:right w:w="120" w:type="dxa"/>
            </w:tcMar>
            <w:vAlign w:val="center"/>
          </w:tcPr>
          <w:p w14:paraId="70839A25" w14:textId="77777777" w:rsidR="00C52674" w:rsidRDefault="00000000">
            <w:pPr>
              <w:spacing w:after="0" w:line="252" w:lineRule="auto"/>
            </w:pPr>
            <w:r>
              <w:rPr>
                <w:sz w:val="17"/>
              </w:rPr>
              <w:t>47.2%</w:t>
            </w:r>
          </w:p>
        </w:tc>
        <w:tc>
          <w:tcPr>
            <w:tcW w:w="1920" w:type="dxa"/>
            <w:tcMar>
              <w:top w:w="80" w:type="dxa"/>
              <w:left w:w="120" w:type="dxa"/>
              <w:bottom w:w="80" w:type="dxa"/>
              <w:right w:w="120" w:type="dxa"/>
            </w:tcMar>
            <w:vAlign w:val="center"/>
          </w:tcPr>
          <w:p w14:paraId="03BD7209" w14:textId="77777777" w:rsidR="00C52674" w:rsidRDefault="00000000">
            <w:pPr>
              <w:spacing w:after="0" w:line="252" w:lineRule="auto"/>
            </w:pPr>
            <w:r>
              <w:rPr>
                <w:sz w:val="17"/>
              </w:rPr>
              <w:t>24.4%</w:t>
            </w:r>
          </w:p>
        </w:tc>
        <w:tc>
          <w:tcPr>
            <w:tcW w:w="1920" w:type="dxa"/>
            <w:tcMar>
              <w:top w:w="80" w:type="dxa"/>
              <w:left w:w="120" w:type="dxa"/>
              <w:bottom w:w="80" w:type="dxa"/>
              <w:right w:w="120" w:type="dxa"/>
            </w:tcMar>
            <w:vAlign w:val="center"/>
          </w:tcPr>
          <w:p w14:paraId="15CC68A9" w14:textId="77777777" w:rsidR="00C52674" w:rsidRDefault="00000000">
            <w:pPr>
              <w:spacing w:after="0" w:line="252" w:lineRule="auto"/>
            </w:pPr>
            <w:r>
              <w:rPr>
                <w:sz w:val="17"/>
              </w:rPr>
              <w:t>36.0%</w:t>
            </w:r>
          </w:p>
        </w:tc>
      </w:tr>
      <w:tr w:rsidR="00C52674" w14:paraId="6F43B402" w14:textId="77777777">
        <w:trPr>
          <w:cantSplit/>
        </w:trPr>
        <w:tc>
          <w:tcPr>
            <w:tcW w:w="3600" w:type="dxa"/>
            <w:tcMar>
              <w:top w:w="80" w:type="dxa"/>
              <w:left w:w="120" w:type="dxa"/>
              <w:bottom w:w="80" w:type="dxa"/>
              <w:right w:w="120" w:type="dxa"/>
            </w:tcMar>
            <w:vAlign w:val="center"/>
          </w:tcPr>
          <w:p w14:paraId="3ED40865" w14:textId="77777777" w:rsidR="00C52674" w:rsidRDefault="00000000">
            <w:pPr>
              <w:spacing w:after="0" w:line="252" w:lineRule="auto"/>
            </w:pPr>
            <w:r>
              <w:rPr>
                <w:sz w:val="17"/>
              </w:rPr>
              <w:t>+ cross-sample aggregation</w:t>
            </w:r>
          </w:p>
        </w:tc>
        <w:tc>
          <w:tcPr>
            <w:tcW w:w="1920" w:type="dxa"/>
            <w:tcMar>
              <w:top w:w="80" w:type="dxa"/>
              <w:left w:w="120" w:type="dxa"/>
              <w:bottom w:w="80" w:type="dxa"/>
              <w:right w:w="120" w:type="dxa"/>
            </w:tcMar>
            <w:vAlign w:val="center"/>
          </w:tcPr>
          <w:p w14:paraId="6752DF35" w14:textId="77777777" w:rsidR="00C52674" w:rsidRDefault="00000000">
            <w:pPr>
              <w:spacing w:after="0" w:line="252" w:lineRule="auto"/>
            </w:pPr>
            <w:r>
              <w:rPr>
                <w:sz w:val="17"/>
              </w:rPr>
              <w:t>52.3%</w:t>
            </w:r>
          </w:p>
        </w:tc>
        <w:tc>
          <w:tcPr>
            <w:tcW w:w="1920" w:type="dxa"/>
            <w:tcMar>
              <w:top w:w="80" w:type="dxa"/>
              <w:left w:w="120" w:type="dxa"/>
              <w:bottom w:w="80" w:type="dxa"/>
              <w:right w:w="120" w:type="dxa"/>
            </w:tcMar>
            <w:vAlign w:val="center"/>
          </w:tcPr>
          <w:p w14:paraId="7149F042" w14:textId="77777777" w:rsidR="00C52674" w:rsidRDefault="00000000">
            <w:pPr>
              <w:spacing w:after="0" w:line="252" w:lineRule="auto"/>
            </w:pPr>
            <w:r>
              <w:rPr>
                <w:sz w:val="17"/>
              </w:rPr>
              <w:t>27.0%</w:t>
            </w:r>
          </w:p>
        </w:tc>
        <w:tc>
          <w:tcPr>
            <w:tcW w:w="1920" w:type="dxa"/>
            <w:tcMar>
              <w:top w:w="80" w:type="dxa"/>
              <w:left w:w="120" w:type="dxa"/>
              <w:bottom w:w="80" w:type="dxa"/>
              <w:right w:w="120" w:type="dxa"/>
            </w:tcMar>
            <w:vAlign w:val="center"/>
          </w:tcPr>
          <w:p w14:paraId="3C93056B" w14:textId="77777777" w:rsidR="00C52674" w:rsidRDefault="00000000">
            <w:pPr>
              <w:spacing w:after="0" w:line="252" w:lineRule="auto"/>
            </w:pPr>
            <w:r>
              <w:rPr>
                <w:sz w:val="17"/>
              </w:rPr>
              <w:t>37.0%</w:t>
            </w:r>
          </w:p>
        </w:tc>
      </w:tr>
    </w:tbl>
    <w:p w14:paraId="135D9E46" w14:textId="77777777" w:rsidR="00C52674" w:rsidRDefault="00C52674">
      <w:pPr>
        <w:spacing w:after="0"/>
      </w:pPr>
    </w:p>
    <w:p w14:paraId="098DAC7D" w14:textId="77777777" w:rsidR="00C52674" w:rsidRDefault="00000000">
      <w:pPr>
        <w:keepLines/>
      </w:pPr>
      <w:r>
        <w:lastRenderedPageBreak/>
        <w:t>The paper also reports that SkeletonX adds only a small amount of inference-time capacity to CTR-GCN (about 1.46M to 1.53M parameters in the reported comparison). Training is heavier, though, because each original sample is paired with additional samples and produces multiple feature combinations and losses.</w:t>
      </w:r>
    </w:p>
    <w:p w14:paraId="1B1EEEB6" w14:textId="77777777" w:rsidR="00C52674" w:rsidRDefault="00000000">
      <w:pPr>
        <w:pStyle w:val="1"/>
      </w:pPr>
      <w:r>
        <w:t>4. How CTR-GCN and SkeletonX Are Related</w:t>
      </w:r>
    </w:p>
    <w:p w14:paraId="0CB8718B" w14:textId="77777777" w:rsidR="00C52674" w:rsidRDefault="00000000">
      <w:pPr>
        <w:keepLines/>
      </w:pPr>
      <w:r>
        <w:t>The simplest way to understand the relationship is: CTR-GCN is the encoder, while SkeletonX is a training and feature-aggregation framework that can sit around that encoder. SkeletonX can use CTR-GCN, ST-GCN, TCA-GCN, or other backbones. Therefore, saying 'CTR-GCN versus SkeletonX' is slightly misleading; a valid model can be 'SkeletonX with a CTR-GCN backbone.'</w:t>
      </w:r>
    </w:p>
    <w:tbl>
      <w:tblPr>
        <w:tblStyle w:val="aff1"/>
        <w:tblW w:w="9360" w:type="dxa"/>
        <w:tblInd w:w="120" w:type="dxa"/>
        <w:tblLayout w:type="fixed"/>
        <w:tblLook w:val="04A0" w:firstRow="1" w:lastRow="0" w:firstColumn="1" w:lastColumn="0" w:noHBand="0" w:noVBand="1"/>
      </w:tblPr>
      <w:tblGrid>
        <w:gridCol w:w="1800"/>
        <w:gridCol w:w="3780"/>
        <w:gridCol w:w="3780"/>
      </w:tblGrid>
      <w:tr w:rsidR="00C52674" w14:paraId="63237162" w14:textId="77777777">
        <w:trPr>
          <w:cantSplit/>
          <w:tblHeader/>
        </w:trPr>
        <w:tc>
          <w:tcPr>
            <w:tcW w:w="1800" w:type="dxa"/>
            <w:shd w:val="clear" w:color="auto" w:fill="F2F4F7"/>
            <w:tcMar>
              <w:top w:w="80" w:type="dxa"/>
              <w:left w:w="120" w:type="dxa"/>
              <w:bottom w:w="80" w:type="dxa"/>
              <w:right w:w="120" w:type="dxa"/>
            </w:tcMar>
            <w:vAlign w:val="center"/>
          </w:tcPr>
          <w:p w14:paraId="1AE8A888" w14:textId="77777777" w:rsidR="00C52674" w:rsidRDefault="00000000">
            <w:pPr>
              <w:spacing w:after="0"/>
            </w:pPr>
            <w:r>
              <w:rPr>
                <w:b/>
                <w:color w:val="17365D"/>
                <w:sz w:val="17"/>
              </w:rPr>
              <w:t>Dimension</w:t>
            </w:r>
          </w:p>
        </w:tc>
        <w:tc>
          <w:tcPr>
            <w:tcW w:w="3780" w:type="dxa"/>
            <w:shd w:val="clear" w:color="auto" w:fill="F2F4F7"/>
            <w:tcMar>
              <w:top w:w="80" w:type="dxa"/>
              <w:left w:w="120" w:type="dxa"/>
              <w:bottom w:w="80" w:type="dxa"/>
              <w:right w:w="120" w:type="dxa"/>
            </w:tcMar>
            <w:vAlign w:val="center"/>
          </w:tcPr>
          <w:p w14:paraId="6A96245F" w14:textId="77777777" w:rsidR="00C52674" w:rsidRDefault="00000000">
            <w:pPr>
              <w:spacing w:after="0"/>
            </w:pPr>
            <w:r>
              <w:rPr>
                <w:b/>
                <w:color w:val="17365D"/>
                <w:sz w:val="17"/>
              </w:rPr>
              <w:t>CTR-GCN</w:t>
            </w:r>
          </w:p>
        </w:tc>
        <w:tc>
          <w:tcPr>
            <w:tcW w:w="3780" w:type="dxa"/>
            <w:shd w:val="clear" w:color="auto" w:fill="F2F4F7"/>
            <w:tcMar>
              <w:top w:w="80" w:type="dxa"/>
              <w:left w:w="120" w:type="dxa"/>
              <w:bottom w:w="80" w:type="dxa"/>
              <w:right w:w="120" w:type="dxa"/>
            </w:tcMar>
            <w:vAlign w:val="center"/>
          </w:tcPr>
          <w:p w14:paraId="1CFE4ED8" w14:textId="77777777" w:rsidR="00C52674" w:rsidRDefault="00000000">
            <w:pPr>
              <w:spacing w:after="0"/>
            </w:pPr>
            <w:r>
              <w:rPr>
                <w:b/>
                <w:color w:val="17365D"/>
                <w:sz w:val="17"/>
              </w:rPr>
              <w:t>SkeletonX</w:t>
            </w:r>
          </w:p>
        </w:tc>
      </w:tr>
      <w:tr w:rsidR="00C52674" w14:paraId="397889C3" w14:textId="77777777">
        <w:trPr>
          <w:cantSplit/>
        </w:trPr>
        <w:tc>
          <w:tcPr>
            <w:tcW w:w="1800" w:type="dxa"/>
            <w:tcMar>
              <w:top w:w="80" w:type="dxa"/>
              <w:left w:w="120" w:type="dxa"/>
              <w:bottom w:w="80" w:type="dxa"/>
              <w:right w:w="120" w:type="dxa"/>
            </w:tcMar>
            <w:vAlign w:val="center"/>
          </w:tcPr>
          <w:p w14:paraId="61C1B04A" w14:textId="77777777" w:rsidR="00C52674" w:rsidRDefault="00000000">
            <w:pPr>
              <w:spacing w:after="0" w:line="252" w:lineRule="auto"/>
            </w:pPr>
            <w:r>
              <w:rPr>
                <w:sz w:val="17"/>
              </w:rPr>
              <w:t>Method level</w:t>
            </w:r>
          </w:p>
        </w:tc>
        <w:tc>
          <w:tcPr>
            <w:tcW w:w="3780" w:type="dxa"/>
            <w:tcMar>
              <w:top w:w="80" w:type="dxa"/>
              <w:left w:w="120" w:type="dxa"/>
              <w:bottom w:w="80" w:type="dxa"/>
              <w:right w:w="120" w:type="dxa"/>
            </w:tcMar>
            <w:vAlign w:val="center"/>
          </w:tcPr>
          <w:p w14:paraId="5E94F21B" w14:textId="77777777" w:rsidR="00C52674" w:rsidRDefault="00000000">
            <w:pPr>
              <w:spacing w:after="0" w:line="252" w:lineRule="auto"/>
            </w:pPr>
            <w:r>
              <w:rPr>
                <w:sz w:val="17"/>
              </w:rPr>
              <w:t>Backbone / graph-convolution architecture</w:t>
            </w:r>
          </w:p>
        </w:tc>
        <w:tc>
          <w:tcPr>
            <w:tcW w:w="3780" w:type="dxa"/>
            <w:tcMar>
              <w:top w:w="80" w:type="dxa"/>
              <w:left w:w="120" w:type="dxa"/>
              <w:bottom w:w="80" w:type="dxa"/>
              <w:right w:w="120" w:type="dxa"/>
            </w:tcMar>
            <w:vAlign w:val="center"/>
          </w:tcPr>
          <w:p w14:paraId="1318CCE1" w14:textId="77777777" w:rsidR="00C52674" w:rsidRDefault="00000000">
            <w:pPr>
              <w:spacing w:after="0" w:line="252" w:lineRule="auto"/>
            </w:pPr>
            <w:r>
              <w:rPr>
                <w:sz w:val="17"/>
              </w:rPr>
              <w:t>Training and feature-aggregation framework around a GCN backbone</w:t>
            </w:r>
          </w:p>
        </w:tc>
      </w:tr>
      <w:tr w:rsidR="00C52674" w14:paraId="15DE6E26" w14:textId="77777777">
        <w:trPr>
          <w:cantSplit/>
        </w:trPr>
        <w:tc>
          <w:tcPr>
            <w:tcW w:w="1800" w:type="dxa"/>
            <w:tcMar>
              <w:top w:w="80" w:type="dxa"/>
              <w:left w:w="120" w:type="dxa"/>
              <w:bottom w:w="80" w:type="dxa"/>
              <w:right w:w="120" w:type="dxa"/>
            </w:tcMar>
            <w:vAlign w:val="center"/>
          </w:tcPr>
          <w:p w14:paraId="6049D641" w14:textId="77777777" w:rsidR="00C52674" w:rsidRDefault="00000000">
            <w:pPr>
              <w:spacing w:after="0" w:line="252" w:lineRule="auto"/>
            </w:pPr>
            <w:r>
              <w:rPr>
                <w:sz w:val="17"/>
              </w:rPr>
              <w:t>Main question</w:t>
            </w:r>
          </w:p>
        </w:tc>
        <w:tc>
          <w:tcPr>
            <w:tcW w:w="3780" w:type="dxa"/>
            <w:tcMar>
              <w:top w:w="80" w:type="dxa"/>
              <w:left w:w="120" w:type="dxa"/>
              <w:bottom w:w="80" w:type="dxa"/>
              <w:right w:w="120" w:type="dxa"/>
            </w:tcMar>
            <w:vAlign w:val="center"/>
          </w:tcPr>
          <w:p w14:paraId="0BAD6258" w14:textId="77777777" w:rsidR="00C52674" w:rsidRDefault="00000000">
            <w:pPr>
              <w:spacing w:after="0" w:line="252" w:lineRule="auto"/>
            </w:pPr>
            <w:r>
              <w:rPr>
                <w:sz w:val="17"/>
              </w:rPr>
              <w:t>How should joints be connected dynamically across channels?</w:t>
            </w:r>
          </w:p>
        </w:tc>
        <w:tc>
          <w:tcPr>
            <w:tcW w:w="3780" w:type="dxa"/>
            <w:tcMar>
              <w:top w:w="80" w:type="dxa"/>
              <w:left w:w="120" w:type="dxa"/>
              <w:bottom w:w="80" w:type="dxa"/>
              <w:right w:w="120" w:type="dxa"/>
            </w:tcMar>
            <w:vAlign w:val="center"/>
          </w:tcPr>
          <w:p w14:paraId="15A27E92" w14:textId="77777777" w:rsidR="00C52674" w:rsidRDefault="00000000">
            <w:pPr>
              <w:spacing w:after="0" w:line="252" w:lineRule="auto"/>
            </w:pPr>
            <w:r>
              <w:rPr>
                <w:sz w:val="17"/>
              </w:rPr>
              <w:t>How can limited samples be used through semantic pairing and recombination?</w:t>
            </w:r>
          </w:p>
        </w:tc>
      </w:tr>
      <w:tr w:rsidR="00C52674" w14:paraId="2C63BB24" w14:textId="77777777">
        <w:trPr>
          <w:cantSplit/>
        </w:trPr>
        <w:tc>
          <w:tcPr>
            <w:tcW w:w="1800" w:type="dxa"/>
            <w:tcMar>
              <w:top w:w="80" w:type="dxa"/>
              <w:left w:w="120" w:type="dxa"/>
              <w:bottom w:w="80" w:type="dxa"/>
              <w:right w:w="120" w:type="dxa"/>
            </w:tcMar>
            <w:vAlign w:val="center"/>
          </w:tcPr>
          <w:p w14:paraId="113469BF" w14:textId="77777777" w:rsidR="00C52674" w:rsidRDefault="00000000">
            <w:pPr>
              <w:spacing w:after="0" w:line="252" w:lineRule="auto"/>
            </w:pPr>
            <w:r>
              <w:rPr>
                <w:sz w:val="17"/>
              </w:rPr>
              <w:t>Core mechanism</w:t>
            </w:r>
          </w:p>
        </w:tc>
        <w:tc>
          <w:tcPr>
            <w:tcW w:w="3780" w:type="dxa"/>
            <w:tcMar>
              <w:top w:w="80" w:type="dxa"/>
              <w:left w:w="120" w:type="dxa"/>
              <w:bottom w:w="80" w:type="dxa"/>
              <w:right w:w="120" w:type="dxa"/>
            </w:tcMar>
            <w:vAlign w:val="center"/>
          </w:tcPr>
          <w:p w14:paraId="22C971DF" w14:textId="77777777" w:rsidR="00C52674" w:rsidRDefault="00000000">
            <w:pPr>
              <w:spacing w:after="0" w:line="252" w:lineRule="auto"/>
            </w:pPr>
            <w:r>
              <w:rPr>
                <w:sz w:val="17"/>
              </w:rPr>
              <w:t>Shared topology plus channel-specific refinement</w:t>
            </w:r>
          </w:p>
        </w:tc>
        <w:tc>
          <w:tcPr>
            <w:tcW w:w="3780" w:type="dxa"/>
            <w:tcMar>
              <w:top w:w="80" w:type="dxa"/>
              <w:left w:w="120" w:type="dxa"/>
              <w:bottom w:w="80" w:type="dxa"/>
              <w:right w:w="120" w:type="dxa"/>
            </w:tcMar>
            <w:vAlign w:val="center"/>
          </w:tcPr>
          <w:p w14:paraId="2522354E" w14:textId="77777777" w:rsidR="00C52674" w:rsidRDefault="00000000">
            <w:pPr>
              <w:spacing w:after="0" w:line="252" w:lineRule="auto"/>
            </w:pPr>
            <w:r>
              <w:rPr>
                <w:sz w:val="17"/>
              </w:rPr>
              <w:t>DASP/SADP, spatial-temporal refinement, cross-sample aggregation</w:t>
            </w:r>
          </w:p>
        </w:tc>
      </w:tr>
      <w:tr w:rsidR="00C52674" w14:paraId="2E384079" w14:textId="77777777">
        <w:trPr>
          <w:cantSplit/>
        </w:trPr>
        <w:tc>
          <w:tcPr>
            <w:tcW w:w="1800" w:type="dxa"/>
            <w:tcMar>
              <w:top w:w="80" w:type="dxa"/>
              <w:left w:w="120" w:type="dxa"/>
              <w:bottom w:w="80" w:type="dxa"/>
              <w:right w:w="120" w:type="dxa"/>
            </w:tcMar>
            <w:vAlign w:val="center"/>
          </w:tcPr>
          <w:p w14:paraId="090F2AB3" w14:textId="77777777" w:rsidR="00C52674" w:rsidRDefault="00000000">
            <w:pPr>
              <w:spacing w:after="0" w:line="252" w:lineRule="auto"/>
            </w:pPr>
            <w:r>
              <w:rPr>
                <w:sz w:val="17"/>
              </w:rPr>
              <w:t>Main relation modeled</w:t>
            </w:r>
          </w:p>
        </w:tc>
        <w:tc>
          <w:tcPr>
            <w:tcW w:w="3780" w:type="dxa"/>
            <w:tcMar>
              <w:top w:w="80" w:type="dxa"/>
              <w:left w:w="120" w:type="dxa"/>
              <w:bottom w:w="80" w:type="dxa"/>
              <w:right w:w="120" w:type="dxa"/>
            </w:tcMar>
            <w:vAlign w:val="center"/>
          </w:tcPr>
          <w:p w14:paraId="25E5C79B" w14:textId="77777777" w:rsidR="00C52674" w:rsidRDefault="00000000">
            <w:pPr>
              <w:spacing w:after="0" w:line="252" w:lineRule="auto"/>
            </w:pPr>
            <w:r>
              <w:rPr>
                <w:sz w:val="17"/>
              </w:rPr>
              <w:t>Joints within each person's skeleton</w:t>
            </w:r>
          </w:p>
        </w:tc>
        <w:tc>
          <w:tcPr>
            <w:tcW w:w="3780" w:type="dxa"/>
            <w:tcMar>
              <w:top w:w="80" w:type="dxa"/>
              <w:left w:w="120" w:type="dxa"/>
              <w:bottom w:w="80" w:type="dxa"/>
              <w:right w:w="120" w:type="dxa"/>
            </w:tcMar>
            <w:vAlign w:val="center"/>
          </w:tcPr>
          <w:p w14:paraId="7B275015" w14:textId="77777777" w:rsidR="00C52674" w:rsidRDefault="00000000">
            <w:pPr>
              <w:spacing w:after="0" w:line="252" w:lineRule="auto"/>
            </w:pPr>
            <w:r>
              <w:rPr>
                <w:sz w:val="17"/>
              </w:rPr>
              <w:t>Action and performer factors across training samples</w:t>
            </w:r>
          </w:p>
        </w:tc>
      </w:tr>
      <w:tr w:rsidR="00C52674" w14:paraId="4784BB31" w14:textId="77777777">
        <w:trPr>
          <w:cantSplit/>
        </w:trPr>
        <w:tc>
          <w:tcPr>
            <w:tcW w:w="1800" w:type="dxa"/>
            <w:tcMar>
              <w:top w:w="80" w:type="dxa"/>
              <w:left w:w="120" w:type="dxa"/>
              <w:bottom w:w="80" w:type="dxa"/>
              <w:right w:w="120" w:type="dxa"/>
            </w:tcMar>
            <w:vAlign w:val="center"/>
          </w:tcPr>
          <w:p w14:paraId="3F0E2BC3" w14:textId="77777777" w:rsidR="00C52674" w:rsidRDefault="00000000">
            <w:pPr>
              <w:spacing w:after="0" w:line="252" w:lineRule="auto"/>
            </w:pPr>
            <w:r>
              <w:rPr>
                <w:sz w:val="17"/>
              </w:rPr>
              <w:t>Needs performer labels</w:t>
            </w:r>
          </w:p>
        </w:tc>
        <w:tc>
          <w:tcPr>
            <w:tcW w:w="3780" w:type="dxa"/>
            <w:tcMar>
              <w:top w:w="80" w:type="dxa"/>
              <w:left w:w="120" w:type="dxa"/>
              <w:bottom w:w="80" w:type="dxa"/>
              <w:right w:w="120" w:type="dxa"/>
            </w:tcMar>
            <w:vAlign w:val="center"/>
          </w:tcPr>
          <w:p w14:paraId="1DB1AE76" w14:textId="77777777" w:rsidR="00C52674" w:rsidRDefault="00000000">
            <w:pPr>
              <w:spacing w:after="0" w:line="252" w:lineRule="auto"/>
            </w:pPr>
            <w:r>
              <w:rPr>
                <w:sz w:val="17"/>
              </w:rPr>
              <w:t>No</w:t>
            </w:r>
          </w:p>
        </w:tc>
        <w:tc>
          <w:tcPr>
            <w:tcW w:w="3780" w:type="dxa"/>
            <w:tcMar>
              <w:top w:w="80" w:type="dxa"/>
              <w:left w:w="120" w:type="dxa"/>
              <w:bottom w:w="80" w:type="dxa"/>
              <w:right w:w="120" w:type="dxa"/>
            </w:tcMar>
            <w:vAlign w:val="center"/>
          </w:tcPr>
          <w:p w14:paraId="447E9772" w14:textId="77777777" w:rsidR="00C52674" w:rsidRDefault="00000000">
            <w:pPr>
              <w:spacing w:after="0" w:line="252" w:lineRule="auto"/>
            </w:pPr>
            <w:r>
              <w:rPr>
                <w:sz w:val="17"/>
              </w:rPr>
              <w:t>Yes, for pair selection</w:t>
            </w:r>
          </w:p>
        </w:tc>
      </w:tr>
      <w:tr w:rsidR="00C52674" w14:paraId="3D747B99" w14:textId="77777777">
        <w:trPr>
          <w:cantSplit/>
        </w:trPr>
        <w:tc>
          <w:tcPr>
            <w:tcW w:w="1800" w:type="dxa"/>
            <w:tcMar>
              <w:top w:w="80" w:type="dxa"/>
              <w:left w:w="120" w:type="dxa"/>
              <w:bottom w:w="80" w:type="dxa"/>
              <w:right w:w="120" w:type="dxa"/>
            </w:tcMar>
            <w:vAlign w:val="center"/>
          </w:tcPr>
          <w:p w14:paraId="4A0E2B48" w14:textId="77777777" w:rsidR="00C52674" w:rsidRDefault="00000000">
            <w:pPr>
              <w:spacing w:after="0" w:line="252" w:lineRule="auto"/>
            </w:pPr>
            <w:r>
              <w:rPr>
                <w:sz w:val="17"/>
              </w:rPr>
              <w:t>Low-data objective</w:t>
            </w:r>
          </w:p>
        </w:tc>
        <w:tc>
          <w:tcPr>
            <w:tcW w:w="3780" w:type="dxa"/>
            <w:tcMar>
              <w:top w:w="80" w:type="dxa"/>
              <w:left w:w="120" w:type="dxa"/>
              <w:bottom w:w="80" w:type="dxa"/>
              <w:right w:w="120" w:type="dxa"/>
            </w:tcMar>
            <w:vAlign w:val="center"/>
          </w:tcPr>
          <w:p w14:paraId="1C9F32E3" w14:textId="77777777" w:rsidR="00C52674" w:rsidRDefault="00000000">
            <w:pPr>
              <w:spacing w:after="0" w:line="252" w:lineRule="auto"/>
            </w:pPr>
            <w:r>
              <w:rPr>
                <w:sz w:val="17"/>
              </w:rPr>
              <w:t>Not the primary focus</w:t>
            </w:r>
          </w:p>
        </w:tc>
        <w:tc>
          <w:tcPr>
            <w:tcW w:w="3780" w:type="dxa"/>
            <w:tcMar>
              <w:top w:w="80" w:type="dxa"/>
              <w:left w:w="120" w:type="dxa"/>
              <w:bottom w:w="80" w:type="dxa"/>
              <w:right w:w="120" w:type="dxa"/>
            </w:tcMar>
            <w:vAlign w:val="center"/>
          </w:tcPr>
          <w:p w14:paraId="226FFE1E" w14:textId="77777777" w:rsidR="00C52674" w:rsidRDefault="00000000">
            <w:pPr>
              <w:spacing w:after="0" w:line="252" w:lineRule="auto"/>
            </w:pPr>
            <w:r>
              <w:rPr>
                <w:sz w:val="17"/>
              </w:rPr>
              <w:t>Primary focus</w:t>
            </w:r>
          </w:p>
        </w:tc>
      </w:tr>
      <w:tr w:rsidR="00C52674" w14:paraId="01DD61F2" w14:textId="77777777">
        <w:trPr>
          <w:cantSplit/>
        </w:trPr>
        <w:tc>
          <w:tcPr>
            <w:tcW w:w="1800" w:type="dxa"/>
            <w:tcMar>
              <w:top w:w="80" w:type="dxa"/>
              <w:left w:w="120" w:type="dxa"/>
              <w:bottom w:w="80" w:type="dxa"/>
              <w:right w:w="120" w:type="dxa"/>
            </w:tcMar>
            <w:vAlign w:val="center"/>
          </w:tcPr>
          <w:p w14:paraId="38B666FD" w14:textId="77777777" w:rsidR="00C52674" w:rsidRDefault="00000000">
            <w:pPr>
              <w:spacing w:after="0" w:line="252" w:lineRule="auto"/>
            </w:pPr>
            <w:r>
              <w:rPr>
                <w:sz w:val="17"/>
              </w:rPr>
              <w:t>Person dimension</w:t>
            </w:r>
          </w:p>
        </w:tc>
        <w:tc>
          <w:tcPr>
            <w:tcW w:w="3780" w:type="dxa"/>
            <w:tcMar>
              <w:top w:w="80" w:type="dxa"/>
              <w:left w:w="120" w:type="dxa"/>
              <w:bottom w:w="80" w:type="dxa"/>
              <w:right w:w="120" w:type="dxa"/>
            </w:tcMar>
            <w:vAlign w:val="center"/>
          </w:tcPr>
          <w:p w14:paraId="4899B98C" w14:textId="77777777" w:rsidR="00C52674" w:rsidRDefault="00000000">
            <w:pPr>
              <w:spacing w:after="0" w:line="252" w:lineRule="auto"/>
            </w:pPr>
            <w:r>
              <w:rPr>
                <w:sz w:val="17"/>
              </w:rPr>
              <w:t>Separate through backbone, then averaged</w:t>
            </w:r>
          </w:p>
        </w:tc>
        <w:tc>
          <w:tcPr>
            <w:tcW w:w="3780" w:type="dxa"/>
            <w:tcMar>
              <w:top w:w="80" w:type="dxa"/>
              <w:left w:w="120" w:type="dxa"/>
              <w:bottom w:w="80" w:type="dxa"/>
              <w:right w:w="120" w:type="dxa"/>
            </w:tcMar>
            <w:vAlign w:val="center"/>
          </w:tcPr>
          <w:p w14:paraId="4C700E32" w14:textId="77777777" w:rsidR="00C52674" w:rsidRDefault="00000000">
            <w:pPr>
              <w:spacing w:after="0" w:line="252" w:lineRule="auto"/>
            </w:pPr>
            <w:r>
              <w:rPr>
                <w:sz w:val="17"/>
              </w:rPr>
              <w:t>Separate through encoder/refinement, then averaged</w:t>
            </w:r>
          </w:p>
        </w:tc>
      </w:tr>
      <w:tr w:rsidR="00C52674" w14:paraId="6E488A66" w14:textId="77777777">
        <w:trPr>
          <w:cantSplit/>
        </w:trPr>
        <w:tc>
          <w:tcPr>
            <w:tcW w:w="1800" w:type="dxa"/>
            <w:tcMar>
              <w:top w:w="80" w:type="dxa"/>
              <w:left w:w="120" w:type="dxa"/>
              <w:bottom w:w="80" w:type="dxa"/>
              <w:right w:w="120" w:type="dxa"/>
            </w:tcMar>
            <w:vAlign w:val="center"/>
          </w:tcPr>
          <w:p w14:paraId="250322DC" w14:textId="77777777" w:rsidR="00C52674" w:rsidRDefault="00000000">
            <w:pPr>
              <w:spacing w:after="0" w:line="252" w:lineRule="auto"/>
            </w:pPr>
            <w:r>
              <w:rPr>
                <w:sz w:val="17"/>
              </w:rPr>
              <w:t>Explicit inter-person geometry</w:t>
            </w:r>
          </w:p>
        </w:tc>
        <w:tc>
          <w:tcPr>
            <w:tcW w:w="3780" w:type="dxa"/>
            <w:tcMar>
              <w:top w:w="80" w:type="dxa"/>
              <w:left w:w="120" w:type="dxa"/>
              <w:bottom w:w="80" w:type="dxa"/>
              <w:right w:w="120" w:type="dxa"/>
            </w:tcMar>
            <w:vAlign w:val="center"/>
          </w:tcPr>
          <w:p w14:paraId="045D1045" w14:textId="77777777" w:rsidR="00C52674" w:rsidRDefault="00000000">
            <w:pPr>
              <w:spacing w:after="0" w:line="252" w:lineRule="auto"/>
            </w:pPr>
            <w:r>
              <w:rPr>
                <w:sz w:val="17"/>
              </w:rPr>
              <w:t>No</w:t>
            </w:r>
          </w:p>
        </w:tc>
        <w:tc>
          <w:tcPr>
            <w:tcW w:w="3780" w:type="dxa"/>
            <w:tcMar>
              <w:top w:w="80" w:type="dxa"/>
              <w:left w:w="120" w:type="dxa"/>
              <w:bottom w:w="80" w:type="dxa"/>
              <w:right w:w="120" w:type="dxa"/>
            </w:tcMar>
            <w:vAlign w:val="center"/>
          </w:tcPr>
          <w:p w14:paraId="0145CFFB" w14:textId="77777777" w:rsidR="00C52674" w:rsidRDefault="00000000">
            <w:pPr>
              <w:spacing w:after="0" w:line="252" w:lineRule="auto"/>
            </w:pPr>
            <w:r>
              <w:rPr>
                <w:sz w:val="17"/>
              </w:rPr>
              <w:t>No</w:t>
            </w:r>
          </w:p>
        </w:tc>
      </w:tr>
      <w:tr w:rsidR="00C52674" w14:paraId="230B14EA" w14:textId="77777777">
        <w:trPr>
          <w:cantSplit/>
        </w:trPr>
        <w:tc>
          <w:tcPr>
            <w:tcW w:w="1800" w:type="dxa"/>
            <w:tcMar>
              <w:top w:w="80" w:type="dxa"/>
              <w:left w:w="120" w:type="dxa"/>
              <w:bottom w:w="80" w:type="dxa"/>
              <w:right w:w="120" w:type="dxa"/>
            </w:tcMar>
            <w:vAlign w:val="center"/>
          </w:tcPr>
          <w:p w14:paraId="6FF2706D" w14:textId="77777777" w:rsidR="00C52674" w:rsidRDefault="00000000">
            <w:pPr>
              <w:spacing w:after="0" w:line="252" w:lineRule="auto"/>
            </w:pPr>
            <w:r>
              <w:rPr>
                <w:sz w:val="17"/>
              </w:rPr>
              <w:t>Best use in our review</w:t>
            </w:r>
          </w:p>
        </w:tc>
        <w:tc>
          <w:tcPr>
            <w:tcW w:w="3780" w:type="dxa"/>
            <w:tcMar>
              <w:top w:w="80" w:type="dxa"/>
              <w:left w:w="120" w:type="dxa"/>
              <w:bottom w:w="80" w:type="dxa"/>
              <w:right w:w="120" w:type="dxa"/>
            </w:tcMar>
            <w:vAlign w:val="center"/>
          </w:tcPr>
          <w:p w14:paraId="42CFF744" w14:textId="77777777" w:rsidR="00C52674" w:rsidRDefault="00000000">
            <w:pPr>
              <w:spacing w:after="0" w:line="252" w:lineRule="auto"/>
            </w:pPr>
            <w:r>
              <w:rPr>
                <w:sz w:val="17"/>
              </w:rPr>
              <w:t>Clean base baseline and backbone reference</w:t>
            </w:r>
          </w:p>
        </w:tc>
        <w:tc>
          <w:tcPr>
            <w:tcW w:w="3780" w:type="dxa"/>
            <w:tcMar>
              <w:top w:w="80" w:type="dxa"/>
              <w:left w:w="120" w:type="dxa"/>
              <w:bottom w:w="80" w:type="dxa"/>
              <w:right w:w="120" w:type="dxa"/>
            </w:tcMar>
            <w:vAlign w:val="center"/>
          </w:tcPr>
          <w:p w14:paraId="3F4DB44F" w14:textId="77777777" w:rsidR="00C52674" w:rsidRDefault="00000000">
            <w:pPr>
              <w:spacing w:after="0" w:line="252" w:lineRule="auto"/>
            </w:pPr>
            <w:r>
              <w:rPr>
                <w:sz w:val="17"/>
              </w:rPr>
              <w:t>Stronger recent comparison for data-efficient training</w:t>
            </w:r>
          </w:p>
        </w:tc>
      </w:tr>
    </w:tbl>
    <w:p w14:paraId="7B2E2328" w14:textId="77777777" w:rsidR="00C52674" w:rsidRDefault="00C52674">
      <w:pPr>
        <w:spacing w:after="0"/>
      </w:pPr>
    </w:p>
    <w:p w14:paraId="3407A0AE" w14:textId="77777777" w:rsidR="00C52674" w:rsidRDefault="00000000">
      <w:pPr>
        <w:pStyle w:val="1"/>
      </w:pPr>
      <w:r>
        <w:t>5. What Matches Our Project, and What Does Not</w:t>
      </w:r>
    </w:p>
    <w:tbl>
      <w:tblPr>
        <w:tblStyle w:val="aff1"/>
        <w:tblW w:w="9360" w:type="dxa"/>
        <w:tblInd w:w="120" w:type="dxa"/>
        <w:tblLayout w:type="fixed"/>
        <w:tblLook w:val="04A0" w:firstRow="1" w:lastRow="0" w:firstColumn="1" w:lastColumn="0" w:noHBand="0" w:noVBand="1"/>
      </w:tblPr>
      <w:tblGrid>
        <w:gridCol w:w="2160"/>
        <w:gridCol w:w="2160"/>
        <w:gridCol w:w="2280"/>
        <w:gridCol w:w="2760"/>
      </w:tblGrid>
      <w:tr w:rsidR="00C52674" w14:paraId="08BF8215" w14:textId="77777777">
        <w:trPr>
          <w:cantSplit/>
          <w:tblHeader/>
        </w:trPr>
        <w:tc>
          <w:tcPr>
            <w:tcW w:w="2160" w:type="dxa"/>
            <w:shd w:val="clear" w:color="auto" w:fill="F2F4F7"/>
            <w:tcMar>
              <w:top w:w="80" w:type="dxa"/>
              <w:left w:w="120" w:type="dxa"/>
              <w:bottom w:w="80" w:type="dxa"/>
              <w:right w:w="120" w:type="dxa"/>
            </w:tcMar>
            <w:vAlign w:val="center"/>
          </w:tcPr>
          <w:p w14:paraId="23AC0376" w14:textId="77777777" w:rsidR="00C52674" w:rsidRDefault="00000000">
            <w:pPr>
              <w:spacing w:after="0"/>
            </w:pPr>
            <w:r>
              <w:rPr>
                <w:b/>
                <w:color w:val="17365D"/>
                <w:sz w:val="16"/>
              </w:rPr>
              <w:t>Our project concern</w:t>
            </w:r>
          </w:p>
        </w:tc>
        <w:tc>
          <w:tcPr>
            <w:tcW w:w="2160" w:type="dxa"/>
            <w:shd w:val="clear" w:color="auto" w:fill="F2F4F7"/>
            <w:tcMar>
              <w:top w:w="80" w:type="dxa"/>
              <w:left w:w="120" w:type="dxa"/>
              <w:bottom w:w="80" w:type="dxa"/>
              <w:right w:w="120" w:type="dxa"/>
            </w:tcMar>
            <w:vAlign w:val="center"/>
          </w:tcPr>
          <w:p w14:paraId="190D8DF3" w14:textId="77777777" w:rsidR="00C52674" w:rsidRDefault="00000000">
            <w:pPr>
              <w:spacing w:after="0"/>
            </w:pPr>
            <w:r>
              <w:rPr>
                <w:b/>
                <w:color w:val="17365D"/>
                <w:sz w:val="16"/>
              </w:rPr>
              <w:t>CTR-GCN</w:t>
            </w:r>
          </w:p>
        </w:tc>
        <w:tc>
          <w:tcPr>
            <w:tcW w:w="2280" w:type="dxa"/>
            <w:shd w:val="clear" w:color="auto" w:fill="F2F4F7"/>
            <w:tcMar>
              <w:top w:w="80" w:type="dxa"/>
              <w:left w:w="120" w:type="dxa"/>
              <w:bottom w:w="80" w:type="dxa"/>
              <w:right w:w="120" w:type="dxa"/>
            </w:tcMar>
            <w:vAlign w:val="center"/>
          </w:tcPr>
          <w:p w14:paraId="380B7314" w14:textId="77777777" w:rsidR="00C52674" w:rsidRDefault="00000000">
            <w:pPr>
              <w:spacing w:after="0"/>
            </w:pPr>
            <w:r>
              <w:rPr>
                <w:b/>
                <w:color w:val="17365D"/>
                <w:sz w:val="16"/>
              </w:rPr>
              <w:t>SkeletonX</w:t>
            </w:r>
          </w:p>
        </w:tc>
        <w:tc>
          <w:tcPr>
            <w:tcW w:w="2760" w:type="dxa"/>
            <w:shd w:val="clear" w:color="auto" w:fill="F2F4F7"/>
            <w:tcMar>
              <w:top w:w="80" w:type="dxa"/>
              <w:left w:w="120" w:type="dxa"/>
              <w:bottom w:w="80" w:type="dxa"/>
              <w:right w:w="120" w:type="dxa"/>
            </w:tcMar>
            <w:vAlign w:val="center"/>
          </w:tcPr>
          <w:p w14:paraId="2A4A8AE7" w14:textId="77777777" w:rsidR="00C52674" w:rsidRDefault="00000000">
            <w:pPr>
              <w:spacing w:after="0"/>
            </w:pPr>
            <w:r>
              <w:rPr>
                <w:b/>
                <w:color w:val="17365D"/>
                <w:sz w:val="16"/>
              </w:rPr>
              <w:t>Paper-review conclusion</w:t>
            </w:r>
          </w:p>
        </w:tc>
      </w:tr>
      <w:tr w:rsidR="00C52674" w14:paraId="11492F40" w14:textId="77777777">
        <w:trPr>
          <w:cantSplit/>
        </w:trPr>
        <w:tc>
          <w:tcPr>
            <w:tcW w:w="2160" w:type="dxa"/>
            <w:tcMar>
              <w:top w:w="80" w:type="dxa"/>
              <w:left w:w="120" w:type="dxa"/>
              <w:bottom w:w="80" w:type="dxa"/>
              <w:right w:w="120" w:type="dxa"/>
            </w:tcMar>
            <w:vAlign w:val="center"/>
          </w:tcPr>
          <w:p w14:paraId="35EE2204" w14:textId="77777777" w:rsidR="00C52674" w:rsidRDefault="00000000">
            <w:pPr>
              <w:spacing w:after="0" w:line="252" w:lineRule="auto"/>
            </w:pPr>
            <w:r>
              <w:rPr>
                <w:sz w:val="16"/>
              </w:rPr>
              <w:t>Two-person NTU input</w:t>
            </w:r>
          </w:p>
        </w:tc>
        <w:tc>
          <w:tcPr>
            <w:tcW w:w="2160" w:type="dxa"/>
            <w:tcMar>
              <w:top w:w="80" w:type="dxa"/>
              <w:left w:w="120" w:type="dxa"/>
              <w:bottom w:w="80" w:type="dxa"/>
              <w:right w:w="120" w:type="dxa"/>
            </w:tcMar>
            <w:vAlign w:val="center"/>
          </w:tcPr>
          <w:p w14:paraId="0B9BCAC0" w14:textId="77777777" w:rsidR="00C52674" w:rsidRDefault="00000000">
            <w:pPr>
              <w:spacing w:after="0" w:line="252" w:lineRule="auto"/>
            </w:pPr>
            <w:r>
              <w:rPr>
                <w:sz w:val="16"/>
              </w:rPr>
              <w:t>Directly supported</w:t>
            </w:r>
          </w:p>
        </w:tc>
        <w:tc>
          <w:tcPr>
            <w:tcW w:w="2280" w:type="dxa"/>
            <w:tcMar>
              <w:top w:w="80" w:type="dxa"/>
              <w:left w:w="120" w:type="dxa"/>
              <w:bottom w:w="80" w:type="dxa"/>
              <w:right w:w="120" w:type="dxa"/>
            </w:tcMar>
            <w:vAlign w:val="center"/>
          </w:tcPr>
          <w:p w14:paraId="72BDCC50" w14:textId="77777777" w:rsidR="00C52674" w:rsidRDefault="00000000">
            <w:pPr>
              <w:spacing w:after="0" w:line="252" w:lineRule="auto"/>
            </w:pPr>
            <w:r>
              <w:rPr>
                <w:sz w:val="16"/>
              </w:rPr>
              <w:t>Supported through its GCN backbone</w:t>
            </w:r>
          </w:p>
        </w:tc>
        <w:tc>
          <w:tcPr>
            <w:tcW w:w="2760" w:type="dxa"/>
            <w:tcMar>
              <w:top w:w="80" w:type="dxa"/>
              <w:left w:w="120" w:type="dxa"/>
              <w:bottom w:w="80" w:type="dxa"/>
              <w:right w:w="120" w:type="dxa"/>
            </w:tcMar>
            <w:vAlign w:val="center"/>
          </w:tcPr>
          <w:p w14:paraId="76540B7A" w14:textId="77777777" w:rsidR="00C52674" w:rsidRDefault="00000000">
            <w:pPr>
              <w:spacing w:after="0" w:line="252" w:lineRule="auto"/>
            </w:pPr>
            <w:r>
              <w:rPr>
                <w:sz w:val="16"/>
              </w:rPr>
              <w:t>Both are technically relevant</w:t>
            </w:r>
          </w:p>
        </w:tc>
      </w:tr>
      <w:tr w:rsidR="00C52674" w14:paraId="37049D9D" w14:textId="77777777">
        <w:trPr>
          <w:cantSplit/>
        </w:trPr>
        <w:tc>
          <w:tcPr>
            <w:tcW w:w="2160" w:type="dxa"/>
            <w:tcMar>
              <w:top w:w="80" w:type="dxa"/>
              <w:left w:w="120" w:type="dxa"/>
              <w:bottom w:w="80" w:type="dxa"/>
              <w:right w:w="120" w:type="dxa"/>
            </w:tcMar>
            <w:vAlign w:val="center"/>
          </w:tcPr>
          <w:p w14:paraId="3FA65B54" w14:textId="77777777" w:rsidR="00C52674" w:rsidRDefault="00000000">
            <w:pPr>
              <w:spacing w:after="0" w:line="252" w:lineRule="auto"/>
            </w:pPr>
            <w:r>
              <w:rPr>
                <w:sz w:val="16"/>
              </w:rPr>
              <w:t>Strong skeleton encoder</w:t>
            </w:r>
          </w:p>
        </w:tc>
        <w:tc>
          <w:tcPr>
            <w:tcW w:w="2160" w:type="dxa"/>
            <w:tcMar>
              <w:top w:w="80" w:type="dxa"/>
              <w:left w:w="120" w:type="dxa"/>
              <w:bottom w:w="80" w:type="dxa"/>
              <w:right w:w="120" w:type="dxa"/>
            </w:tcMar>
            <w:vAlign w:val="center"/>
          </w:tcPr>
          <w:p w14:paraId="6C0A7E61" w14:textId="77777777" w:rsidR="00C52674" w:rsidRDefault="00000000">
            <w:pPr>
              <w:spacing w:after="0" w:line="252" w:lineRule="auto"/>
            </w:pPr>
            <w:r>
              <w:rPr>
                <w:sz w:val="16"/>
              </w:rPr>
              <w:t>Core contribution</w:t>
            </w:r>
          </w:p>
        </w:tc>
        <w:tc>
          <w:tcPr>
            <w:tcW w:w="2280" w:type="dxa"/>
            <w:tcMar>
              <w:top w:w="80" w:type="dxa"/>
              <w:left w:w="120" w:type="dxa"/>
              <w:bottom w:w="80" w:type="dxa"/>
              <w:right w:w="120" w:type="dxa"/>
            </w:tcMar>
            <w:vAlign w:val="center"/>
          </w:tcPr>
          <w:p w14:paraId="699F3969" w14:textId="77777777" w:rsidR="00C52674" w:rsidRDefault="00000000">
            <w:pPr>
              <w:spacing w:after="0" w:line="252" w:lineRule="auto"/>
            </w:pPr>
            <w:r>
              <w:rPr>
                <w:sz w:val="16"/>
              </w:rPr>
              <w:t>Depends on the chosen backbone</w:t>
            </w:r>
          </w:p>
        </w:tc>
        <w:tc>
          <w:tcPr>
            <w:tcW w:w="2760" w:type="dxa"/>
            <w:tcMar>
              <w:top w:w="80" w:type="dxa"/>
              <w:left w:w="120" w:type="dxa"/>
              <w:bottom w:w="80" w:type="dxa"/>
              <w:right w:w="120" w:type="dxa"/>
            </w:tcMar>
            <w:vAlign w:val="center"/>
          </w:tcPr>
          <w:p w14:paraId="1C6A59D2" w14:textId="77777777" w:rsidR="00C52674" w:rsidRDefault="00000000">
            <w:pPr>
              <w:spacing w:after="0" w:line="252" w:lineRule="auto"/>
            </w:pPr>
            <w:r>
              <w:rPr>
                <w:sz w:val="16"/>
              </w:rPr>
              <w:t>CTR-GCN is the cleaner backbone reference</w:t>
            </w:r>
          </w:p>
        </w:tc>
      </w:tr>
      <w:tr w:rsidR="00C52674" w14:paraId="4619B970" w14:textId="77777777">
        <w:trPr>
          <w:cantSplit/>
        </w:trPr>
        <w:tc>
          <w:tcPr>
            <w:tcW w:w="2160" w:type="dxa"/>
            <w:tcMar>
              <w:top w:w="80" w:type="dxa"/>
              <w:left w:w="120" w:type="dxa"/>
              <w:bottom w:w="80" w:type="dxa"/>
              <w:right w:w="120" w:type="dxa"/>
            </w:tcMar>
            <w:vAlign w:val="center"/>
          </w:tcPr>
          <w:p w14:paraId="471F5F16" w14:textId="77777777" w:rsidR="00C52674" w:rsidRDefault="00000000">
            <w:pPr>
              <w:spacing w:after="0" w:line="252" w:lineRule="auto"/>
            </w:pPr>
            <w:r>
              <w:rPr>
                <w:sz w:val="16"/>
              </w:rPr>
              <w:t>Limited-data learning</w:t>
            </w:r>
          </w:p>
        </w:tc>
        <w:tc>
          <w:tcPr>
            <w:tcW w:w="2160" w:type="dxa"/>
            <w:tcMar>
              <w:top w:w="80" w:type="dxa"/>
              <w:left w:w="120" w:type="dxa"/>
              <w:bottom w:w="80" w:type="dxa"/>
              <w:right w:w="120" w:type="dxa"/>
            </w:tcMar>
            <w:vAlign w:val="center"/>
          </w:tcPr>
          <w:p w14:paraId="198F9AAC" w14:textId="77777777" w:rsidR="00C52674" w:rsidRDefault="00000000">
            <w:pPr>
              <w:spacing w:after="0" w:line="252" w:lineRule="auto"/>
            </w:pPr>
            <w:r>
              <w:rPr>
                <w:sz w:val="16"/>
              </w:rPr>
              <w:t>Not the main focus</w:t>
            </w:r>
          </w:p>
        </w:tc>
        <w:tc>
          <w:tcPr>
            <w:tcW w:w="2280" w:type="dxa"/>
            <w:tcMar>
              <w:top w:w="80" w:type="dxa"/>
              <w:left w:w="120" w:type="dxa"/>
              <w:bottom w:w="80" w:type="dxa"/>
              <w:right w:w="120" w:type="dxa"/>
            </w:tcMar>
            <w:vAlign w:val="center"/>
          </w:tcPr>
          <w:p w14:paraId="352D7D7F" w14:textId="77777777" w:rsidR="00C52674" w:rsidRDefault="00000000">
            <w:pPr>
              <w:spacing w:after="0" w:line="252" w:lineRule="auto"/>
            </w:pPr>
            <w:r>
              <w:rPr>
                <w:sz w:val="16"/>
              </w:rPr>
              <w:t>Core contribution</w:t>
            </w:r>
          </w:p>
        </w:tc>
        <w:tc>
          <w:tcPr>
            <w:tcW w:w="2760" w:type="dxa"/>
            <w:tcMar>
              <w:top w:w="80" w:type="dxa"/>
              <w:left w:w="120" w:type="dxa"/>
              <w:bottom w:w="80" w:type="dxa"/>
              <w:right w:w="120" w:type="dxa"/>
            </w:tcMar>
            <w:vAlign w:val="center"/>
          </w:tcPr>
          <w:p w14:paraId="2D342FC7" w14:textId="77777777" w:rsidR="00C52674" w:rsidRDefault="00000000">
            <w:pPr>
              <w:spacing w:after="0" w:line="252" w:lineRule="auto"/>
            </w:pPr>
            <w:r>
              <w:rPr>
                <w:sz w:val="16"/>
              </w:rPr>
              <w:t>SkeletonX matters more if our subset is small</w:t>
            </w:r>
          </w:p>
        </w:tc>
      </w:tr>
      <w:tr w:rsidR="00C52674" w14:paraId="384F02AB" w14:textId="77777777">
        <w:trPr>
          <w:cantSplit/>
        </w:trPr>
        <w:tc>
          <w:tcPr>
            <w:tcW w:w="2160" w:type="dxa"/>
            <w:tcMar>
              <w:top w:w="80" w:type="dxa"/>
              <w:left w:w="120" w:type="dxa"/>
              <w:bottom w:w="80" w:type="dxa"/>
              <w:right w:w="120" w:type="dxa"/>
            </w:tcMar>
            <w:vAlign w:val="center"/>
          </w:tcPr>
          <w:p w14:paraId="63EBD6DA" w14:textId="77777777" w:rsidR="00C52674" w:rsidRDefault="00000000">
            <w:pPr>
              <w:spacing w:after="0" w:line="252" w:lineRule="auto"/>
            </w:pPr>
            <w:r>
              <w:rPr>
                <w:sz w:val="16"/>
              </w:rPr>
              <w:t>Keep Person 1 and Person 2 separate</w:t>
            </w:r>
          </w:p>
        </w:tc>
        <w:tc>
          <w:tcPr>
            <w:tcW w:w="2160" w:type="dxa"/>
            <w:tcMar>
              <w:top w:w="80" w:type="dxa"/>
              <w:left w:w="120" w:type="dxa"/>
              <w:bottom w:w="80" w:type="dxa"/>
              <w:right w:w="120" w:type="dxa"/>
            </w:tcMar>
            <w:vAlign w:val="center"/>
          </w:tcPr>
          <w:p w14:paraId="699E48E0" w14:textId="77777777" w:rsidR="00C52674" w:rsidRDefault="00000000">
            <w:pPr>
              <w:spacing w:after="0" w:line="252" w:lineRule="auto"/>
            </w:pPr>
            <w:r>
              <w:rPr>
                <w:sz w:val="16"/>
              </w:rPr>
              <w:t>Separate before final mean, then lost</w:t>
            </w:r>
          </w:p>
        </w:tc>
        <w:tc>
          <w:tcPr>
            <w:tcW w:w="2280" w:type="dxa"/>
            <w:tcMar>
              <w:top w:w="80" w:type="dxa"/>
              <w:left w:w="120" w:type="dxa"/>
              <w:bottom w:w="80" w:type="dxa"/>
              <w:right w:w="120" w:type="dxa"/>
            </w:tcMar>
            <w:vAlign w:val="center"/>
          </w:tcPr>
          <w:p w14:paraId="785EB7DA" w14:textId="77777777" w:rsidR="00C52674" w:rsidRDefault="00000000">
            <w:pPr>
              <w:spacing w:after="0" w:line="252" w:lineRule="auto"/>
            </w:pPr>
            <w:r>
              <w:rPr>
                <w:sz w:val="16"/>
              </w:rPr>
              <w:t>Also averages the person dimension</w:t>
            </w:r>
          </w:p>
        </w:tc>
        <w:tc>
          <w:tcPr>
            <w:tcW w:w="2760" w:type="dxa"/>
            <w:tcMar>
              <w:top w:w="80" w:type="dxa"/>
              <w:left w:w="120" w:type="dxa"/>
              <w:bottom w:w="80" w:type="dxa"/>
              <w:right w:w="120" w:type="dxa"/>
            </w:tcMar>
            <w:vAlign w:val="center"/>
          </w:tcPr>
          <w:p w14:paraId="64C01769" w14:textId="77777777" w:rsidR="00C52674" w:rsidRDefault="00000000">
            <w:pPr>
              <w:spacing w:after="0" w:line="252" w:lineRule="auto"/>
            </w:pPr>
            <w:r>
              <w:rPr>
                <w:sz w:val="16"/>
              </w:rPr>
              <w:t>Neither directly solves it</w:t>
            </w:r>
          </w:p>
        </w:tc>
      </w:tr>
      <w:tr w:rsidR="00C52674" w14:paraId="7CF7CC38" w14:textId="77777777">
        <w:trPr>
          <w:cantSplit/>
        </w:trPr>
        <w:tc>
          <w:tcPr>
            <w:tcW w:w="2160" w:type="dxa"/>
            <w:tcMar>
              <w:top w:w="80" w:type="dxa"/>
              <w:left w:w="120" w:type="dxa"/>
              <w:bottom w:w="80" w:type="dxa"/>
              <w:right w:w="120" w:type="dxa"/>
            </w:tcMar>
            <w:vAlign w:val="center"/>
          </w:tcPr>
          <w:p w14:paraId="4A2626B3" w14:textId="77777777" w:rsidR="00C52674" w:rsidRDefault="00000000">
            <w:pPr>
              <w:spacing w:after="0" w:line="252" w:lineRule="auto"/>
            </w:pPr>
            <w:r>
              <w:rPr>
                <w:sz w:val="16"/>
              </w:rPr>
              <w:lastRenderedPageBreak/>
              <w:t>Explicit cross-person geometry</w:t>
            </w:r>
          </w:p>
        </w:tc>
        <w:tc>
          <w:tcPr>
            <w:tcW w:w="2160" w:type="dxa"/>
            <w:tcMar>
              <w:top w:w="80" w:type="dxa"/>
              <w:left w:w="120" w:type="dxa"/>
              <w:bottom w:w="80" w:type="dxa"/>
              <w:right w:w="120" w:type="dxa"/>
            </w:tcMar>
            <w:vAlign w:val="center"/>
          </w:tcPr>
          <w:p w14:paraId="34A76CEE" w14:textId="77777777" w:rsidR="00C52674" w:rsidRDefault="00000000">
            <w:pPr>
              <w:spacing w:after="0" w:line="252" w:lineRule="auto"/>
            </w:pPr>
            <w:r>
              <w:rPr>
                <w:sz w:val="16"/>
              </w:rPr>
              <w:t>Not modeled</w:t>
            </w:r>
          </w:p>
        </w:tc>
        <w:tc>
          <w:tcPr>
            <w:tcW w:w="2280" w:type="dxa"/>
            <w:tcMar>
              <w:top w:w="80" w:type="dxa"/>
              <w:left w:w="120" w:type="dxa"/>
              <w:bottom w:w="80" w:type="dxa"/>
              <w:right w:w="120" w:type="dxa"/>
            </w:tcMar>
            <w:vAlign w:val="center"/>
          </w:tcPr>
          <w:p w14:paraId="160AC061" w14:textId="77777777" w:rsidR="00C52674" w:rsidRDefault="00000000">
            <w:pPr>
              <w:spacing w:after="0" w:line="252" w:lineRule="auto"/>
            </w:pPr>
            <w:r>
              <w:rPr>
                <w:sz w:val="16"/>
              </w:rPr>
              <w:t>Not modeled within a clip</w:t>
            </w:r>
          </w:p>
        </w:tc>
        <w:tc>
          <w:tcPr>
            <w:tcW w:w="2760" w:type="dxa"/>
            <w:tcMar>
              <w:top w:w="80" w:type="dxa"/>
              <w:left w:w="120" w:type="dxa"/>
              <w:bottom w:w="80" w:type="dxa"/>
              <w:right w:w="120" w:type="dxa"/>
            </w:tcMar>
            <w:vAlign w:val="center"/>
          </w:tcPr>
          <w:p w14:paraId="3582FB84" w14:textId="77777777" w:rsidR="00C52674" w:rsidRDefault="00000000">
            <w:pPr>
              <w:spacing w:after="0" w:line="252" w:lineRule="auto"/>
            </w:pPr>
            <w:r>
              <w:rPr>
                <w:sz w:val="16"/>
              </w:rPr>
              <w:t>Neither directly solves it</w:t>
            </w:r>
          </w:p>
        </w:tc>
      </w:tr>
      <w:tr w:rsidR="00C52674" w14:paraId="4405B3D9" w14:textId="77777777">
        <w:trPr>
          <w:cantSplit/>
        </w:trPr>
        <w:tc>
          <w:tcPr>
            <w:tcW w:w="2160" w:type="dxa"/>
            <w:tcMar>
              <w:top w:w="80" w:type="dxa"/>
              <w:left w:w="120" w:type="dxa"/>
              <w:bottom w:w="80" w:type="dxa"/>
              <w:right w:w="120" w:type="dxa"/>
            </w:tcMar>
            <w:vAlign w:val="center"/>
          </w:tcPr>
          <w:p w14:paraId="4962754E" w14:textId="77777777" w:rsidR="00C52674" w:rsidRDefault="00000000">
            <w:pPr>
              <w:spacing w:after="0" w:line="252" w:lineRule="auto"/>
            </w:pPr>
            <w:r>
              <w:rPr>
                <w:sz w:val="16"/>
              </w:rPr>
              <w:t>Initiator/receiver or role preservation</w:t>
            </w:r>
          </w:p>
        </w:tc>
        <w:tc>
          <w:tcPr>
            <w:tcW w:w="2160" w:type="dxa"/>
            <w:tcMar>
              <w:top w:w="80" w:type="dxa"/>
              <w:left w:w="120" w:type="dxa"/>
              <w:bottom w:w="80" w:type="dxa"/>
              <w:right w:w="120" w:type="dxa"/>
            </w:tcMar>
            <w:vAlign w:val="center"/>
          </w:tcPr>
          <w:p w14:paraId="613B2001" w14:textId="77777777" w:rsidR="00C52674" w:rsidRDefault="00000000">
            <w:pPr>
              <w:spacing w:after="0" w:line="252" w:lineRule="auto"/>
            </w:pPr>
            <w:r>
              <w:rPr>
                <w:sz w:val="16"/>
              </w:rPr>
              <w:t>Not explicitly evaluated</w:t>
            </w:r>
          </w:p>
        </w:tc>
        <w:tc>
          <w:tcPr>
            <w:tcW w:w="2280" w:type="dxa"/>
            <w:tcMar>
              <w:top w:w="80" w:type="dxa"/>
              <w:left w:w="120" w:type="dxa"/>
              <w:bottom w:w="80" w:type="dxa"/>
              <w:right w:w="120" w:type="dxa"/>
            </w:tcMar>
            <w:vAlign w:val="center"/>
          </w:tcPr>
          <w:p w14:paraId="3447AB11" w14:textId="77777777" w:rsidR="00C52674" w:rsidRDefault="00000000">
            <w:pPr>
              <w:spacing w:after="0" w:line="252" w:lineRule="auto"/>
            </w:pPr>
            <w:r>
              <w:rPr>
                <w:sz w:val="16"/>
              </w:rPr>
              <w:t>Performer ID is a different concept</w:t>
            </w:r>
          </w:p>
        </w:tc>
        <w:tc>
          <w:tcPr>
            <w:tcW w:w="2760" w:type="dxa"/>
            <w:tcMar>
              <w:top w:w="80" w:type="dxa"/>
              <w:left w:w="120" w:type="dxa"/>
              <w:bottom w:w="80" w:type="dxa"/>
              <w:right w:w="120" w:type="dxa"/>
            </w:tcMar>
            <w:vAlign w:val="center"/>
          </w:tcPr>
          <w:p w14:paraId="3C7A89D0" w14:textId="77777777" w:rsidR="00C52674" w:rsidRDefault="00000000">
            <w:pPr>
              <w:spacing w:after="0" w:line="252" w:lineRule="auto"/>
            </w:pPr>
            <w:r>
              <w:rPr>
                <w:sz w:val="16"/>
              </w:rPr>
              <w:t>This remains our project's research gap</w:t>
            </w:r>
          </w:p>
        </w:tc>
      </w:tr>
      <w:tr w:rsidR="00C52674" w14:paraId="30214FAC" w14:textId="77777777">
        <w:trPr>
          <w:cantSplit/>
        </w:trPr>
        <w:tc>
          <w:tcPr>
            <w:tcW w:w="2160" w:type="dxa"/>
            <w:tcMar>
              <w:top w:w="80" w:type="dxa"/>
              <w:left w:w="120" w:type="dxa"/>
              <w:bottom w:w="80" w:type="dxa"/>
              <w:right w:w="120" w:type="dxa"/>
            </w:tcMar>
            <w:vAlign w:val="center"/>
          </w:tcPr>
          <w:p w14:paraId="29D16A05" w14:textId="77777777" w:rsidR="00C52674" w:rsidRDefault="00000000">
            <w:pPr>
              <w:spacing w:after="0" w:line="252" w:lineRule="auto"/>
            </w:pPr>
            <w:r>
              <w:rPr>
                <w:sz w:val="16"/>
              </w:rPr>
              <w:t>Person-index swap sensitivity</w:t>
            </w:r>
          </w:p>
        </w:tc>
        <w:tc>
          <w:tcPr>
            <w:tcW w:w="2160" w:type="dxa"/>
            <w:tcMar>
              <w:top w:w="80" w:type="dxa"/>
              <w:left w:w="120" w:type="dxa"/>
              <w:bottom w:w="80" w:type="dxa"/>
              <w:right w:w="120" w:type="dxa"/>
            </w:tcMar>
            <w:vAlign w:val="center"/>
          </w:tcPr>
          <w:p w14:paraId="61DD01A7" w14:textId="77777777" w:rsidR="00C52674" w:rsidRDefault="00000000">
            <w:pPr>
              <w:spacing w:after="0" w:line="252" w:lineRule="auto"/>
            </w:pPr>
            <w:r>
              <w:rPr>
                <w:sz w:val="16"/>
              </w:rPr>
              <w:t>Not a main evaluation</w:t>
            </w:r>
          </w:p>
        </w:tc>
        <w:tc>
          <w:tcPr>
            <w:tcW w:w="2280" w:type="dxa"/>
            <w:tcMar>
              <w:top w:w="80" w:type="dxa"/>
              <w:left w:w="120" w:type="dxa"/>
              <w:bottom w:w="80" w:type="dxa"/>
              <w:right w:w="120" w:type="dxa"/>
            </w:tcMar>
            <w:vAlign w:val="center"/>
          </w:tcPr>
          <w:p w14:paraId="76955A93" w14:textId="77777777" w:rsidR="00C52674" w:rsidRDefault="00000000">
            <w:pPr>
              <w:spacing w:after="0" w:line="252" w:lineRule="auto"/>
            </w:pPr>
            <w:r>
              <w:rPr>
                <w:sz w:val="16"/>
              </w:rPr>
              <w:t>Not a main evaluation</w:t>
            </w:r>
          </w:p>
        </w:tc>
        <w:tc>
          <w:tcPr>
            <w:tcW w:w="2760" w:type="dxa"/>
            <w:tcMar>
              <w:top w:w="80" w:type="dxa"/>
              <w:left w:w="120" w:type="dxa"/>
              <w:bottom w:w="80" w:type="dxa"/>
              <w:right w:w="120" w:type="dxa"/>
            </w:tcMar>
            <w:vAlign w:val="center"/>
          </w:tcPr>
          <w:p w14:paraId="5AC0C3B8" w14:textId="77777777" w:rsidR="00C52674" w:rsidRDefault="00000000">
            <w:pPr>
              <w:spacing w:after="0" w:line="252" w:lineRule="auto"/>
            </w:pPr>
            <w:r>
              <w:rPr>
                <w:sz w:val="16"/>
              </w:rPr>
              <w:t>Our charter goes beyond both papers</w:t>
            </w:r>
          </w:p>
        </w:tc>
      </w:tr>
    </w:tbl>
    <w:p w14:paraId="08FA4D8F" w14:textId="77777777" w:rsidR="00C52674" w:rsidRDefault="00C52674">
      <w:pPr>
        <w:spacing w:after="0"/>
      </w:pPr>
    </w:p>
    <w:p w14:paraId="057E12C9" w14:textId="6DAB0591" w:rsidR="00C52674" w:rsidRPr="009B4A45" w:rsidRDefault="00000000">
      <w:pPr>
        <w:pStyle w:val="1"/>
        <w:rPr>
          <w:rFonts w:eastAsia="宋体"/>
          <w:lang w:eastAsia="zh-CN"/>
        </w:rPr>
      </w:pPr>
      <w:r>
        <w:t xml:space="preserve">6. Baseline Assessment for Our </w:t>
      </w:r>
      <w:r w:rsidR="009B4A45">
        <w:rPr>
          <w:rFonts w:eastAsia="宋体" w:hint="eastAsia"/>
          <w:lang w:eastAsia="zh-CN"/>
        </w:rPr>
        <w:t>Project</w:t>
      </w:r>
    </w:p>
    <w:p w14:paraId="09B7F30D" w14:textId="30D6E7CF" w:rsidR="00C52674" w:rsidRDefault="009B4A45">
      <w:pPr>
        <w:spacing w:after="0"/>
      </w:pPr>
      <w:r>
        <w:rPr>
          <w:color w:val="000000"/>
          <w:sz w:val="21"/>
        </w:rPr>
        <w:t>If we need one main baseline for testing our own project idea, CTR-GCN is the better choice. If we have room for a second stronger reference, SkeletonX with a CTR-GCN backbone is useful as an additional literature baseline.</w:t>
      </w:r>
    </w:p>
    <w:p w14:paraId="70F3ED0C" w14:textId="63EE5FDB" w:rsidR="00C52674" w:rsidRDefault="00000000">
      <w:pPr>
        <w:pStyle w:val="21"/>
      </w:pPr>
      <w:r>
        <w:t xml:space="preserve">6.1 Why CTR-GCN is </w:t>
      </w:r>
      <w:r w:rsidR="000628EE">
        <w:rPr>
          <w:rFonts w:eastAsia="宋体" w:hint="eastAsia"/>
          <w:lang w:eastAsia="zh-CN"/>
        </w:rPr>
        <w:t>better for</w:t>
      </w:r>
      <w:r>
        <w:t xml:space="preserve"> cleaner baseline</w:t>
      </w:r>
    </w:p>
    <w:p w14:paraId="58D9CF75" w14:textId="77777777" w:rsidR="00C52674" w:rsidRDefault="00000000">
      <w:pPr>
        <w:keepLines/>
      </w:pPr>
      <w:r>
        <w:t>Our main question is whether preserving person instances and inter-person relationships helps action recognition. CTR-GCN already gives us a strong skeleton encoder, but its final person averaging leaves exactly the gap described in our charter. This makes the comparison conceptually clean: the backbone is credible, and the missing part is closely related to our research question.</w:t>
      </w:r>
    </w:p>
    <w:p w14:paraId="36F89D23" w14:textId="77777777" w:rsidR="00C52674" w:rsidRDefault="00000000">
      <w:pPr>
        <w:keepLines/>
      </w:pPr>
      <w:r>
        <w:t>CTR-GCN also has fewer extra training components. If a result changes relative to CTR-GCN, it is easier to discuss that change in terms of person representation and interaction modeling. This is a literature-based reason for choosing it as a baseline, not a detailed implementation instruction.</w:t>
      </w:r>
    </w:p>
    <w:p w14:paraId="7AB11530" w14:textId="77777777" w:rsidR="00C52674" w:rsidRDefault="00000000">
      <w:pPr>
        <w:pStyle w:val="21"/>
      </w:pPr>
      <w:r>
        <w:t>6.2 Where SkeletonX fits</w:t>
      </w:r>
    </w:p>
    <w:p w14:paraId="7686CB98" w14:textId="77777777" w:rsidR="00C52674" w:rsidRDefault="00000000">
      <w:pPr>
        <w:keepLines/>
      </w:pPr>
      <w:r>
        <w:t>SkeletonX is a stronger recent reference when the discussion is about limited data, feature aggregation, or whether a method still helps after a more advanced training framework is added. It is valuable, but it introduces several extra factors at once: semantic sample pairing, two refinement branches, cross-sample aggregation, and additional losses. That makes it less clean as the only baseline for isolating our project's central idea.</w:t>
      </w:r>
    </w:p>
    <w:p w14:paraId="2C3D7B7C" w14:textId="77777777" w:rsidR="00C52674" w:rsidRDefault="00000000">
      <w:pPr>
        <w:keepLines/>
      </w:pPr>
      <w:r>
        <w:t>So the two papers can be positioned like this in our report: CTR-GCN is the primary baseline and backbone reference; SkeletonX-CTR-GCN is an additional strong comparison or extension. If the project scope only allows one, CTR-GCN is the more defensible choice for causal clarity and alignment with the charter.</w:t>
      </w:r>
    </w:p>
    <w:p w14:paraId="4DB701DD" w14:textId="071353B2" w:rsidR="00C52674" w:rsidRPr="000628EE" w:rsidRDefault="00000000">
      <w:pPr>
        <w:pStyle w:val="1"/>
        <w:rPr>
          <w:rFonts w:eastAsia="宋体"/>
          <w:lang w:eastAsia="zh-CN"/>
        </w:rPr>
      </w:pPr>
      <w:r>
        <w:t>7.</w:t>
      </w:r>
      <w:r w:rsidR="000628EE">
        <w:rPr>
          <w:rFonts w:eastAsia="宋体" w:hint="eastAsia"/>
          <w:lang w:eastAsia="zh-CN"/>
        </w:rPr>
        <w:t xml:space="preserve"> Conclusion</w:t>
      </w:r>
    </w:p>
    <w:p w14:paraId="00CF4F82" w14:textId="77777777" w:rsidR="00C52674" w:rsidRDefault="00000000">
      <w:pPr>
        <w:keepLines/>
      </w:pPr>
      <w:r>
        <w:t>CTR-GCN helps us because it is a strong and efficient graph-convolution backbone that already handles NTU-style multi-person input and keeps per-person features available until late in the network. Its weakness is that it finally averages the people and does not explicitly model their relative geometry.</w:t>
      </w:r>
    </w:p>
    <w:p w14:paraId="2C29E7FF" w14:textId="77777777" w:rsidR="00C52674" w:rsidRDefault="00000000">
      <w:pPr>
        <w:keepLines/>
      </w:pPr>
      <w:r>
        <w:t>SkeletonX helps us because it shows how semantic pairing and lightweight feature recombination can improve learning when data are limited. Its main identity concept, however, is performer identity across video samples, not the two person instances inside one interaction clip.</w:t>
      </w:r>
    </w:p>
    <w:p w14:paraId="5EB5FD33" w14:textId="77777777" w:rsidR="00C52674" w:rsidRDefault="00000000">
      <w:pPr>
        <w:keepLines/>
      </w:pPr>
      <w:r>
        <w:lastRenderedPageBreak/>
        <w:t>Overall, both papers support the motivation of our project, but neither removes the need for it. The gap left by both methods is exactly the one our charter highlights: keeping individual people and their interaction relationship informative without letting arbitrary person-slot order become the label.</w:t>
      </w:r>
    </w:p>
    <w:p w14:paraId="512D58EE" w14:textId="46248A14" w:rsidR="00C52674" w:rsidRPr="00C75B87" w:rsidRDefault="00C52674" w:rsidP="00C75B87">
      <w:pPr>
        <w:spacing w:after="60"/>
        <w:rPr>
          <w:rFonts w:eastAsia="宋体"/>
          <w:lang w:eastAsia="zh-CN"/>
        </w:rPr>
      </w:pPr>
    </w:p>
    <w:sectPr w:rsidR="00C52674" w:rsidRPr="00C75B87" w:rsidSect="00034616">
      <w:headerReference w:type="even" r:id="rId8"/>
      <w:headerReference w:type="default" r:id="rId9"/>
      <w:footerReference w:type="even" r:id="rId10"/>
      <w:footerReference w:type="default" r:id="rId11"/>
      <w:headerReference w:type="first" r:id="rId12"/>
      <w:footerReference w:type="first" r:id="rId13"/>
      <w:pgSz w:w="12240" w:h="15840"/>
      <w:pgMar w:top="1152" w:right="1440" w:bottom="1152"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8FA199" w14:textId="77777777" w:rsidR="00061328" w:rsidRDefault="00061328">
      <w:pPr>
        <w:spacing w:after="0" w:line="240" w:lineRule="auto"/>
      </w:pPr>
      <w:r>
        <w:separator/>
      </w:r>
    </w:p>
  </w:endnote>
  <w:endnote w:type="continuationSeparator" w:id="0">
    <w:p w14:paraId="1E3AD816" w14:textId="77777777" w:rsidR="00061328" w:rsidRDefault="000613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1B1F3" w14:textId="77777777" w:rsidR="005C7010" w:rsidRDefault="005C7010">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F1CC0" w14:textId="77777777" w:rsidR="00C52674" w:rsidRDefault="00000000">
    <w:pPr>
      <w:pStyle w:val="a7"/>
      <w:jc w:val="right"/>
    </w:pPr>
    <w:r>
      <w:rPr>
        <w:color w:val="666666"/>
        <w:sz w:val="18"/>
      </w:rPr>
      <w:t xml:space="preserve">Paper Review  |  </w:t>
    </w:r>
    <w:r>
      <w:rPr>
        <w:color w:val="666666"/>
        <w:sz w:val="18"/>
      </w:rPr>
      <w:fldChar w:fldCharType="begin"/>
    </w:r>
    <w:r>
      <w:rPr>
        <w:color w:val="666666"/>
        <w:sz w:val="18"/>
      </w:rPr>
      <w:instrText xml:space="preserve"> PAGE </w:instrText>
    </w:r>
    <w:r>
      <w:rPr>
        <w:color w:val="666666"/>
        <w:sz w:val="18"/>
      </w:rPr>
      <w:fldChar w:fldCharType="separate"/>
    </w:r>
    <w:r w:rsidR="00C75B87">
      <w:rPr>
        <w:noProof/>
        <w:color w:val="666666"/>
        <w:sz w:val="18"/>
      </w:rPr>
      <w:t>1</w:t>
    </w:r>
    <w:r>
      <w:rPr>
        <w:color w:val="666666"/>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CE419" w14:textId="77777777" w:rsidR="005C7010" w:rsidRDefault="005C7010">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B93BB" w14:textId="77777777" w:rsidR="00061328" w:rsidRDefault="00061328">
      <w:pPr>
        <w:spacing w:after="0" w:line="240" w:lineRule="auto"/>
      </w:pPr>
      <w:r>
        <w:separator/>
      </w:r>
    </w:p>
  </w:footnote>
  <w:footnote w:type="continuationSeparator" w:id="0">
    <w:p w14:paraId="5ED1B067" w14:textId="77777777" w:rsidR="00061328" w:rsidRDefault="000613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D0AFC" w14:textId="77777777" w:rsidR="005C7010" w:rsidRDefault="005C7010">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5AF6F" w14:textId="66277A1B" w:rsidR="00C52674" w:rsidRPr="005C7010" w:rsidRDefault="00C52674">
    <w:pPr>
      <w:pStyle w:val="a5"/>
      <w:rPr>
        <w:rFonts w:eastAsia="宋体"/>
        <w:lang w:eastAsia="zh-C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492E5" w14:textId="77777777" w:rsidR="005C7010" w:rsidRDefault="005C7010">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5922840">
    <w:abstractNumId w:val="8"/>
  </w:num>
  <w:num w:numId="2" w16cid:durableId="386222969">
    <w:abstractNumId w:val="6"/>
  </w:num>
  <w:num w:numId="3" w16cid:durableId="599876664">
    <w:abstractNumId w:val="5"/>
  </w:num>
  <w:num w:numId="4" w16cid:durableId="499924817">
    <w:abstractNumId w:val="4"/>
  </w:num>
  <w:num w:numId="5" w16cid:durableId="601694490">
    <w:abstractNumId w:val="7"/>
  </w:num>
  <w:num w:numId="6" w16cid:durableId="834687096">
    <w:abstractNumId w:val="3"/>
  </w:num>
  <w:num w:numId="7" w16cid:durableId="428048100">
    <w:abstractNumId w:val="2"/>
  </w:num>
  <w:num w:numId="8" w16cid:durableId="1778016804">
    <w:abstractNumId w:val="1"/>
  </w:num>
  <w:num w:numId="9" w16cid:durableId="16200653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1328"/>
    <w:rsid w:val="000628EE"/>
    <w:rsid w:val="0015074B"/>
    <w:rsid w:val="002714FF"/>
    <w:rsid w:val="0029639D"/>
    <w:rsid w:val="00326F90"/>
    <w:rsid w:val="004C6701"/>
    <w:rsid w:val="005C7010"/>
    <w:rsid w:val="009B4A45"/>
    <w:rsid w:val="009E3E2B"/>
    <w:rsid w:val="00AA1D8D"/>
    <w:rsid w:val="00B47730"/>
    <w:rsid w:val="00BE1CD6"/>
    <w:rsid w:val="00C52674"/>
    <w:rsid w:val="00C75B87"/>
    <w:rsid w:val="00CB0664"/>
    <w:rsid w:val="00DF06E3"/>
    <w:rsid w:val="00FC693F"/>
    <w:rsid w:val="00FD221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3D82586"/>
  <w14:defaultImageDpi w14:val="300"/>
  <w15:docId w15:val="{98C3B739-9782-4443-9A40-CD520D649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264" w:lineRule="auto"/>
    </w:pPr>
    <w:rPr>
      <w:rFonts w:ascii="Calibri" w:hAnsi="Calibri"/>
    </w:rPr>
  </w:style>
  <w:style w:type="paragraph" w:styleId="1">
    <w:name w:val="heading 1"/>
    <w:basedOn w:val="a1"/>
    <w:next w:val="a1"/>
    <w:link w:val="10"/>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21">
    <w:name w:val="heading 2"/>
    <w:basedOn w:val="a1"/>
    <w:next w:val="a1"/>
    <w:link w:val="22"/>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31">
    <w:name w:val="heading 3"/>
    <w:basedOn w:val="a1"/>
    <w:next w:val="a1"/>
    <w:link w:val="32"/>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rPr>
      <w:sz w:val="21"/>
    </w:rPr>
  </w:style>
  <w:style w:type="paragraph" w:styleId="20">
    <w:name w:val="List Bullet 2"/>
    <w:basedOn w:val="a1"/>
    <w:uiPriority w:val="99"/>
    <w:unhideWhenUsed/>
    <w:rsid w:val="00326F90"/>
    <w:pPr>
      <w:numPr>
        <w:numId w:val="2"/>
      </w:numPr>
      <w:contextualSpacing/>
    </w:pPr>
    <w:rPr>
      <w:sz w:val="21"/>
    </w:r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rPr>
      <w:sz w:val="21"/>
    </w:r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1</Pages>
  <Words>1854</Words>
  <Characters>10573</Characters>
  <Application>Microsoft Office Word</Application>
  <DocSecurity>0</DocSecurity>
  <Lines>257</Lines>
  <Paragraphs>182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CTR-GCN and SkeletonX: What They Mean for Our Project</dc:title>
  <dc:subject>EE6008 paper review</dc:subject>
  <dc:creator>Zhao Zhenning</dc:creator>
  <cp:keywords>CTR-GCN, SkeletonX, multi-person action recognition, identity preservation, NTU RGB+D 120</cp:keywords>
  <dc:description>generated by python-docx</dc:description>
  <cp:lastModifiedBy>Zhenning Zhao</cp:lastModifiedBy>
  <cp:revision>5</cp:revision>
  <dcterms:created xsi:type="dcterms:W3CDTF">2013-12-23T23:15:00Z</dcterms:created>
  <dcterms:modified xsi:type="dcterms:W3CDTF">2026-08-27T14:11:00Z</dcterms:modified>
  <cp:category/>
</cp:coreProperties>
</file>