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Revised Experimental Design</w:t>
        <w:br/>
        <w:t>for Two Person Action Recognition</w:t>
      </w:r>
    </w:p>
    <w:p>
      <w:r>
        <w:rPr>
          <w:b/>
        </w:rPr>
        <w:t xml:space="preserve">Companion revision </w:t>
      </w:r>
      <w:r>
        <w:t>Additions and revisions to Experiments.docx</w:t>
      </w:r>
    </w:p>
    <w:p>
      <w:r>
        <w:t>CTR-GCN backbone with the SkeletonX strategy | 7 September 2026</w:t>
      </w:r>
    </w:p>
    <w:p>
      <w:r>
        <w:t>We retain the four experiments in the original proposal and extend each with explicit methods, sample requirements, controls and evaluation criteria. We propose CTR-GCN with SkeletonX as the main baseline, while retaining plain CTR-GCN to isolate the contribution of the training strategy. All experiments and thresholds below are proposed; they are not measured results.</w:t>
      </w:r>
    </w:p>
    <w:p>
      <w:pPr>
        <w:pStyle w:val="Heading2"/>
      </w:pPr>
      <w:r>
        <w:t>Main revisions to the original proposal</w:t>
      </w:r>
    </w:p>
    <w:p>
      <w:r>
        <w:rPr>
          <w:b/>
        </w:rPr>
        <w:t xml:space="preserve">Baseline definition. </w:t>
      </w:r>
      <w:r>
        <w:t>SkeletonX is a cross-sample feature aggregation framework that can operate with a GCN backbone. Its training strategy and the CTR-GCN architecture should therefore be specified separately. Its published emphasis is on data-efficient learning; our full interaction-subset study is a project-specific setting. [1, 2]</w:t>
      </w:r>
    </w:p>
    <w:p>
      <w:r>
        <w:rPr>
          <w:b/>
        </w:rPr>
        <w:t xml:space="preserve">Representation contribution. </w:t>
      </w:r>
      <w:r>
        <w:t>The official CTR-GCN already encodes each person through a shared backbone before averaging person features. Adding two person streams alone may reproduce existing behavior. We therefore revise the proposed contribution to preserving pair information during fusion and explicitly encoding relative geometry. [3]</w:t>
      </w:r>
    </w:p>
    <w:p>
      <w:r>
        <w:rPr>
          <w:b/>
        </w:rPr>
        <w:t xml:space="preserve">Identity-swap interpretation. </w:t>
      </w:r>
      <w:r>
        <w:t>Exchanging the A and B input slots throughout a clip does not change the observed action. Even role-asymmetric sequence labels should remain unchanged. We separate this test from a mid-sequence identity switch, which breaks trajectory continuity.</w:t>
      </w:r>
    </w:p>
    <w:p>
      <w:r>
        <w:rPr>
          <w:b/>
        </w:rPr>
        <w:t xml:space="preserve">Scope of the conclusion. </w:t>
      </w:r>
      <w:r>
        <w:t>Higher recognition accuracy on role-asymmetric classes supports better interaction classification. A claim that the model identifies the acting person requires additional person-role annotations and a separate evaluation.</w:t>
      </w:r>
    </w:p>
    <w:p>
      <w:pPr>
        <w:pStyle w:val="Heading2"/>
      </w:pPr>
      <w:r>
        <w:t>How to read this revision</w:t>
      </w:r>
    </w:p>
    <w:p>
      <w:r>
        <w:t>The original experiment numbering and objectives are retained. Each experiment includes a revision note, a methodology, the relevant samples and a criterion for interpreting the outcome. The shared sample protocol and reporting rules apply to all four experiments.</w:t>
      </w:r>
    </w:p>
    <w:p>
      <w:r>
        <w:br w:type="page"/>
      </w:r>
    </w:p>
    <w:p>
      <w:pPr>
        <w:pStyle w:val="Heading1"/>
      </w:pPr>
      <w:r>
        <w:t>Shared Sample and Training Protocol</w:t>
      </w:r>
    </w:p>
    <w:p>
      <w:pPr>
        <w:pStyle w:val="Heading2"/>
      </w:pPr>
      <w:r>
        <w:t>Dataset and evaluation splits</w:t>
      </w:r>
    </w:p>
    <w:p>
      <w:r>
        <w:t>Use all 26 official mutual-action classes in NTU RGB+D 120: A050–A060 and A106–A120. Include both the original NTU60 skeleton package and the NTU120 extension. Train a 26-class classifier and retain a mapping to the original action IDs. A sample is a complete action sequence; sampled frames and training crops are not independent test observations. [4]</w:t>
      </w:r>
    </w:p>
    <w:p>
      <w:r>
        <w:t>Use official Cross-Subject (XSub) as the primary protocol and Cross-Setup (XSet) as the generalization check. XSub uses the official 53-subject training list; XSet uses even-numbered setups for training and odd-numbered setups for testing. [5]</w:t>
      </w:r>
    </w:p>
    <w:p>
      <w:r>
        <w:t>Create an internal validation set only within official training data: provisionally hold out about 10% of training subjects for XSub and two training setups for XSet. Verify coverage of all 26 classes, then freeze the lists. Keep views of the same capture together. Select hyperparameters and training duration using this validation set, then retrain on the full official training partition before final testing.</w:t>
      </w:r>
    </w:p>
    <w:p>
      <w:pPr>
        <w:pStyle w:val="Heading2"/>
      </w:pPr>
      <w:r>
        <w:t>Sample quality and sample size</w:t>
      </w:r>
    </w:p>
    <w:p>
      <w:r>
        <w:t>Use a common missing-skeleton exclusion list, parsing rules and trajectory-quality policy for every method. Mask missing joints and frames; do not interpret zero padding as a physical joint position. Maintain a deterministic tracking procedure and record how short tracks or a missing second person are handled.</w:t>
      </w:r>
    </w:p>
    <w:p>
      <w:r>
        <w:t>Use every sequence retained by the frozen policy. Report raw, excluded and retained counts per class and split, with exclusion reasons. Exact counts must be measured from the final manifest; they must not be estimated from the proportion of interaction classes.</w:t>
      </w:r>
    </w:p>
    <w:p>
      <w:r>
        <w:t>For development, inspect 10 training sequences per class, giving 260 quality-check clips. This is a practical inspection budget, not a power calculation. An optional low-data study can use 10 and 30 training sequences per class, giving 260 and 780 clips, while keeping the test set fixed. Freeze nested sample lists, verify valid SkeletonX pair construction and disclose the validation-label budget. This is a custom low-data protocol, not automatically the published one-shot setting.</w:t>
      </w:r>
    </w:p>
    <w:p>
      <w:pPr>
        <w:pStyle w:val="Heading2"/>
      </w:pPr>
      <w:r>
        <w:t>Common training conditions</w:t>
      </w:r>
    </w:p>
    <w:p>
      <w:r>
        <w:t>Begin with joint-only 3D input, 25 joints, up to two persons and a provisional 64-frame sampling length. Freeze preprocessing, augmentation, optimizer, learning-rate schedule, initialization source and model-selection rules after pilot runs. Apply geometric augmentation jointly to both people and retain a common coordinate system for relative features.</w:t>
      </w:r>
    </w:p>
    <w:p>
      <w:r>
        <w:t>Build SkeletonX sample pairs only from the current training pool. Freeze its pairing policy, aggregation modules, loss weights and inference path. Report actual optimizer steps, backbone evaluations and GPU hours: equal epoch counts alone do not imply equal compute when pair training is used.</w:t>
      </w:r>
    </w:p>
    <w:p>
      <w:r>
        <w:br w:type="page"/>
      </w:r>
    </w:p>
    <w:p>
      <w:pPr>
        <w:pStyle w:val="Heading1"/>
      </w:pPr>
      <w:r>
        <w:t>Experiment 1 Information Loss Evaluation</w:t>
      </w:r>
    </w:p>
    <w:p>
      <w:r>
        <w:rPr>
          <w:b/>
        </w:rPr>
        <w:t xml:space="preserve">Revision to the original proposal. </w:t>
      </w:r>
      <w:r>
        <w:t>Retain the original baseline comparison, but treat identity-information loss as a hypothesis to investigate rather than an outcome assumed in advance.</w:t>
      </w:r>
    </w:p>
    <w:p>
      <w:pPr>
        <w:pStyle w:val="Heading2"/>
      </w:pPr>
      <w:r>
        <w:t>Goal</w:t>
      </w:r>
    </w:p>
    <w:p>
      <w:r>
        <w:t>Establish the performance of plain CTR-GCN, CTR-GCN with SkeletonX and PoseC3D, and identify interaction classes that merit representation-level diagnosis.</w:t>
      </w:r>
    </w:p>
    <w:p>
      <w:pPr>
        <w:pStyle w:val="Heading2"/>
      </w:pPr>
      <w:r>
        <w:t>Methodology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176"/>
        <w:gridCol w:w="5040"/>
      </w:tblGrid>
      <w:tr>
        <w:trPr>
          <w:tblHeader/>
          <w:cantSplit/>
        </w:trPr>
        <w:tc>
          <w:tcPr>
            <w:tcW w:type="dxa" w:w="720"/>
            <w:vAlign w:val="center"/>
            <w:shd w:fill="DDE5EA"/>
            <w:tcMar>
              <w:top w:w="90" w:type="dxa"/>
              <w:left w:w="90" w:type="dxa"/>
              <w:bottom w:w="90" w:type="dxa"/>
              <w:right w:w="90" w:type="dxa"/>
            </w:tcMar>
          </w:tcPr>
          <w:p>
            <w:pPr>
              <w:spacing w:after="40" w:line="240" w:lineRule="auto"/>
              <w:jc w:val="center"/>
            </w:pPr>
            <w:r>
              <w:rPr>
                <w:b/>
                <w:sz w:val="20"/>
              </w:rPr>
              <w:t>ID</w:t>
            </w:r>
          </w:p>
        </w:tc>
        <w:tc>
          <w:tcPr>
            <w:tcW w:type="dxa" w:w="4176"/>
            <w:vAlign w:val="center"/>
            <w:shd w:fill="DDE5EA"/>
            <w:tcMar>
              <w:top w:w="90" w:type="dxa"/>
              <w:left w:w="90" w:type="dxa"/>
              <w:bottom w:w="90" w:type="dxa"/>
              <w:right w:w="90" w:type="dxa"/>
            </w:tcMar>
          </w:tcPr>
          <w:p>
            <w:pPr>
              <w:spacing w:after="40" w:line="240" w:lineRule="auto"/>
            </w:pPr>
            <w:r>
              <w:rPr>
                <w:b/>
                <w:sz w:val="20"/>
              </w:rPr>
              <w:t>Configuration</w:t>
            </w:r>
          </w:p>
        </w:tc>
        <w:tc>
          <w:tcPr>
            <w:tcW w:type="dxa" w:w="5040"/>
            <w:vAlign w:val="center"/>
            <w:shd w:fill="DDE5EA"/>
            <w:tcMar>
              <w:top w:w="90" w:type="dxa"/>
              <w:left w:w="90" w:type="dxa"/>
              <w:bottom w:w="90" w:type="dxa"/>
              <w:right w:w="90" w:type="dxa"/>
            </w:tcMar>
          </w:tcPr>
          <w:p>
            <w:pPr>
              <w:spacing w:after="40" w:line="240" w:lineRule="auto"/>
            </w:pPr>
            <w:r>
              <w:rPr>
                <w:b/>
                <w:sz w:val="20"/>
              </w:rPr>
              <w:t>Purpose</w:t>
            </w:r>
          </w:p>
        </w:tc>
      </w:tr>
      <w:tr>
        <w:trPr>
          <w:cantSplit/>
        </w:trPr>
        <w:tc>
          <w:tcPr>
            <w:tcW w:type="dxa" w:w="720"/>
            <w:vAlign w:val="center"/>
            <w:shd w:fill="FFFFFF"/>
            <w:tcMar>
              <w:top w:w="90" w:type="dxa"/>
              <w:left w:w="90" w:type="dxa"/>
              <w:bottom w:w="90" w:type="dxa"/>
              <w:right w:w="90" w:type="dxa"/>
            </w:tcMar>
          </w:tcPr>
          <w:p>
            <w:pPr>
              <w:spacing w:after="40" w:line="240" w:lineRule="auto"/>
              <w:jc w:val="center"/>
            </w:pPr>
            <w:r>
              <w:rPr>
                <w:b w:val="0"/>
                <w:sz w:val="20"/>
              </w:rPr>
              <w:t>B0</w:t>
            </w:r>
          </w:p>
        </w:tc>
        <w:tc>
          <w:tcPr>
            <w:tcW w:type="dxa" w:w="4176"/>
            <w:vAlign w:val="center"/>
            <w:shd w:fill="FFFFFF"/>
            <w:tcMar>
              <w:top w:w="90" w:type="dxa"/>
              <w:left w:w="90" w:type="dxa"/>
              <w:bottom w:w="90" w:type="dxa"/>
              <w:right w:w="90" w:type="dxa"/>
            </w:tcMar>
          </w:tcPr>
          <w:p>
            <w:pPr>
              <w:spacing w:after="40" w:line="240" w:lineRule="auto"/>
            </w:pPr>
            <w:r>
              <w:rPr>
                <w:b w:val="0"/>
                <w:sz w:val="20"/>
              </w:rPr>
              <w:t>Original CTR-GCN</w:t>
            </w:r>
          </w:p>
        </w:tc>
        <w:tc>
          <w:tcPr>
            <w:tcW w:type="dxa" w:w="5040"/>
            <w:vAlign w:val="center"/>
            <w:shd w:fill="FFFFFF"/>
            <w:tcMar>
              <w:top w:w="90" w:type="dxa"/>
              <w:left w:w="90" w:type="dxa"/>
              <w:bottom w:w="90" w:type="dxa"/>
              <w:right w:w="90" w:type="dxa"/>
            </w:tcMar>
          </w:tcPr>
          <w:p>
            <w:pPr>
              <w:spacing w:after="40" w:line="240" w:lineRule="auto"/>
            </w:pPr>
            <w:r>
              <w:rPr>
                <w:b w:val="0"/>
                <w:sz w:val="20"/>
              </w:rPr>
              <w:t>Reference without SkeletonX</w:t>
            </w:r>
          </w:p>
        </w:tc>
      </w:tr>
      <w:tr>
        <w:trPr>
          <w:cantSplit/>
        </w:trPr>
        <w:tc>
          <w:tcPr>
            <w:tcW w:type="dxa" w:w="720"/>
            <w:vAlign w:val="center"/>
            <w:shd w:fill="FFFFFF"/>
            <w:tcMar>
              <w:top w:w="90" w:type="dxa"/>
              <w:left w:w="90" w:type="dxa"/>
              <w:bottom w:w="90" w:type="dxa"/>
              <w:right w:w="90" w:type="dxa"/>
            </w:tcMar>
          </w:tcPr>
          <w:p>
            <w:pPr>
              <w:spacing w:after="40" w:line="240" w:lineRule="auto"/>
              <w:jc w:val="center"/>
            </w:pPr>
            <w:r>
              <w:rPr>
                <w:b w:val="0"/>
                <w:sz w:val="20"/>
              </w:rPr>
              <w:t>B1</w:t>
            </w:r>
          </w:p>
        </w:tc>
        <w:tc>
          <w:tcPr>
            <w:tcW w:type="dxa" w:w="4176"/>
            <w:vAlign w:val="center"/>
            <w:shd w:fill="FFFFFF"/>
            <w:tcMar>
              <w:top w:w="90" w:type="dxa"/>
              <w:left w:w="90" w:type="dxa"/>
              <w:bottom w:w="90" w:type="dxa"/>
              <w:right w:w="90" w:type="dxa"/>
            </w:tcMar>
          </w:tcPr>
          <w:p>
            <w:pPr>
              <w:spacing w:after="40" w:line="240" w:lineRule="auto"/>
            </w:pPr>
            <w:r>
              <w:rPr>
                <w:b w:val="0"/>
                <w:sz w:val="20"/>
              </w:rPr>
              <w:t>CTR-GCN plus SkeletonX</w:t>
            </w:r>
          </w:p>
        </w:tc>
        <w:tc>
          <w:tcPr>
            <w:tcW w:type="dxa" w:w="5040"/>
            <w:vAlign w:val="center"/>
            <w:shd w:fill="FFFFFF"/>
            <w:tcMar>
              <w:top w:w="90" w:type="dxa"/>
              <w:left w:w="90" w:type="dxa"/>
              <w:bottom w:w="90" w:type="dxa"/>
              <w:right w:w="90" w:type="dxa"/>
            </w:tcMar>
          </w:tcPr>
          <w:p>
            <w:pPr>
              <w:spacing w:after="40" w:line="240" w:lineRule="auto"/>
            </w:pPr>
            <w:r>
              <w:rPr>
                <w:b w:val="0"/>
                <w:sz w:val="20"/>
              </w:rPr>
              <w:t>Main baseline; compare B1 with B0</w:t>
            </w:r>
          </w:p>
        </w:tc>
      </w:tr>
      <w:tr>
        <w:trPr>
          <w:cantSplit/>
        </w:trPr>
        <w:tc>
          <w:tcPr>
            <w:tcW w:type="dxa" w:w="720"/>
            <w:vAlign w:val="center"/>
            <w:shd w:fill="FFFFFF"/>
            <w:tcMar>
              <w:top w:w="90" w:type="dxa"/>
              <w:left w:w="90" w:type="dxa"/>
              <w:bottom w:w="90" w:type="dxa"/>
              <w:right w:w="90" w:type="dxa"/>
            </w:tcMar>
          </w:tcPr>
          <w:p>
            <w:pPr>
              <w:spacing w:after="40" w:line="240" w:lineRule="auto"/>
              <w:jc w:val="center"/>
            </w:pPr>
            <w:r>
              <w:rPr>
                <w:b w:val="0"/>
                <w:sz w:val="20"/>
              </w:rPr>
              <w:t>P0</w:t>
            </w:r>
          </w:p>
        </w:tc>
        <w:tc>
          <w:tcPr>
            <w:tcW w:type="dxa" w:w="4176"/>
            <w:vAlign w:val="center"/>
            <w:shd w:fill="FFFFFF"/>
            <w:tcMar>
              <w:top w:w="90" w:type="dxa"/>
              <w:left w:w="90" w:type="dxa"/>
              <w:bottom w:w="90" w:type="dxa"/>
              <w:right w:w="90" w:type="dxa"/>
            </w:tcMar>
          </w:tcPr>
          <w:p>
            <w:pPr>
              <w:spacing w:after="40" w:line="240" w:lineRule="auto"/>
            </w:pPr>
            <w:r>
              <w:rPr>
                <w:b w:val="0"/>
                <w:sz w:val="20"/>
              </w:rPr>
              <w:t>Standard PoseC3D with fused person heatmaps</w:t>
            </w:r>
          </w:p>
        </w:tc>
        <w:tc>
          <w:tcPr>
            <w:tcW w:type="dxa" w:w="5040"/>
            <w:vAlign w:val="center"/>
            <w:shd w:fill="FFFFFF"/>
            <w:tcMar>
              <w:top w:w="90" w:type="dxa"/>
              <w:left w:w="90" w:type="dxa"/>
              <w:bottom w:w="90" w:type="dxa"/>
              <w:right w:w="90" w:type="dxa"/>
            </w:tcMar>
          </w:tcPr>
          <w:p>
            <w:pPr>
              <w:spacing w:after="40" w:line="240" w:lineRule="auto"/>
            </w:pPr>
            <w:r>
              <w:rPr>
                <w:b w:val="0"/>
                <w:sz w:val="20"/>
              </w:rPr>
              <w:t>Reference using another representation</w:t>
            </w:r>
          </w:p>
        </w:tc>
      </w:tr>
      <w:tr>
        <w:trPr>
          <w:cantSplit/>
        </w:trPr>
        <w:tc>
          <w:tcPr>
            <w:tcW w:type="dxa" w:w="720"/>
            <w:vAlign w:val="center"/>
            <w:shd w:fill="FFFFFF"/>
            <w:tcMar>
              <w:top w:w="90" w:type="dxa"/>
              <w:left w:w="90" w:type="dxa"/>
              <w:bottom w:w="90" w:type="dxa"/>
              <w:right w:w="90" w:type="dxa"/>
            </w:tcMar>
          </w:tcPr>
          <w:p>
            <w:pPr>
              <w:spacing w:after="40" w:line="240" w:lineRule="auto"/>
              <w:jc w:val="center"/>
            </w:pPr>
            <w:r>
              <w:rPr>
                <w:b w:val="0"/>
                <w:sz w:val="20"/>
              </w:rPr>
              <w:t>P1</w:t>
            </w:r>
          </w:p>
        </w:tc>
        <w:tc>
          <w:tcPr>
            <w:tcW w:type="dxa" w:w="4176"/>
            <w:vAlign w:val="center"/>
            <w:shd w:fill="FFFFFF"/>
            <w:tcMar>
              <w:top w:w="90" w:type="dxa"/>
              <w:left w:w="90" w:type="dxa"/>
              <w:bottom w:w="90" w:type="dxa"/>
              <w:right w:w="90" w:type="dxa"/>
            </w:tcMar>
          </w:tcPr>
          <w:p>
            <w:pPr>
              <w:spacing w:after="40" w:line="240" w:lineRule="auto"/>
            </w:pPr>
            <w:r>
              <w:rPr>
                <w:b w:val="0"/>
                <w:sz w:val="20"/>
              </w:rPr>
              <w:t>PoseC3D with shared per-person encoding and late fusion</w:t>
            </w:r>
          </w:p>
        </w:tc>
        <w:tc>
          <w:tcPr>
            <w:tcW w:type="dxa" w:w="5040"/>
            <w:vAlign w:val="center"/>
            <w:shd w:fill="FFFFFF"/>
            <w:tcMar>
              <w:top w:w="90" w:type="dxa"/>
              <w:left w:w="90" w:type="dxa"/>
              <w:bottom w:w="90" w:type="dxa"/>
              <w:right w:w="90" w:type="dxa"/>
            </w:tcMar>
          </w:tcPr>
          <w:p>
            <w:pPr>
              <w:spacing w:after="40" w:line="240" w:lineRule="auto"/>
            </w:pPr>
            <w:r>
              <w:rPr>
                <w:b w:val="0"/>
                <w:sz w:val="20"/>
              </w:rPr>
              <w:t>Optional control for heatmap fusion</w:t>
            </w:r>
          </w:p>
        </w:tc>
      </w:tr>
    </w:tbl>
    <w:p>
      <w:pPr>
        <w:spacing w:after="0"/>
      </w:pPr>
    </w:p>
    <w:p>
      <w:r>
        <w:t>Train B0 and B1 under the same data protocol and comparable model-selection budgets. Record any unavoidable differences introduced by SkeletonX. Use the same retained sequences for PoseC3D; specify the pose source, dimensionality, projection, heatmap resolution and clip sampling.</w:t>
      </w:r>
    </w:p>
    <w:p>
      <w:r>
        <w:t>If we want to attribute a difference specifically to heatmap fusion, compare P0 with P1 using the same PoseC3D backbone family and shared encoder weights across persons. Match input preparation and training conditions, and report the extra computation. If P1 is not feasible, retain P0 as a descriptive cross-model reference.</w:t>
      </w:r>
    </w:p>
    <w:p>
      <w:pPr>
        <w:pStyle w:val="Heading2"/>
      </w:pPr>
      <w:r>
        <w:t>Experimental samples</w:t>
      </w:r>
    </w:p>
    <w:p>
      <w:r>
        <w:t>Use all retained sequences from the 26-class interaction subset under XSub. Repeat the core GCN comparison under XSet. Use identical sample IDs within each comparison; do not give one model an easier filtered test set.</w:t>
      </w:r>
    </w:p>
    <w:p>
      <w:pPr>
        <w:pStyle w:val="Heading2"/>
      </w:pPr>
      <w:r>
        <w:t>Evaluation and interpretation</w:t>
      </w:r>
    </w:p>
    <w:p>
      <w:r>
        <w:t>Report Macro-F1, Top-1 accuracy, all per-class recalls, confusion matrices and inference cost. B1 versus B0 measures the contribution of SkeletonX under our protocol. P0 versus B1 measures an overall method difference that also includes architecture and input representation.</w:t>
      </w:r>
    </w:p>
    <w:p>
      <w:r>
        <w:t>A lower PoseC3D score alone does not establish that identity fusion caused the errors. Stronger evidence requires the controlled P0/P1 comparison, a consistent error pattern and disclosure of compute differences. If those controls are absent, describe the result as compatible with the hypothesis rather than proof of information loss.</w:t>
      </w:r>
    </w:p>
    <w:p>
      <w:r>
        <w:br w:type="page"/>
      </w:r>
    </w:p>
    <w:p>
      <w:pPr>
        <w:pStyle w:val="Heading1"/>
      </w:pPr>
      <w:r>
        <w:t>Experiment 2 Component Analysis</w:t>
      </w:r>
    </w:p>
    <w:p>
      <w:r>
        <w:rPr>
          <w:b/>
        </w:rPr>
        <w:t xml:space="preserve">Revision to the original proposal. </w:t>
      </w:r>
      <w:r>
        <w:t>Keep the incremental ablation design, but replace the claim of newly introducing independent person streams with a test of pair-preserving fusion beyond CTR-GCN’s existing per-person encoding. [3]</w:t>
      </w:r>
    </w:p>
    <w:p>
      <w:pPr>
        <w:pStyle w:val="Heading2"/>
      </w:pPr>
      <w:r>
        <w:t>Goal and model variants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968"/>
        <w:gridCol w:w="4248"/>
      </w:tblGrid>
      <w:tr>
        <w:trPr>
          <w:tblHeader/>
          <w:cantSplit/>
        </w:trPr>
        <w:tc>
          <w:tcPr>
            <w:tcW w:type="dxa" w:w="720"/>
            <w:vAlign w:val="center"/>
            <w:shd w:fill="DDE5EA"/>
            <w:tcMar>
              <w:top w:w="90" w:type="dxa"/>
              <w:left w:w="90" w:type="dxa"/>
              <w:bottom w:w="90" w:type="dxa"/>
              <w:right w:w="90" w:type="dxa"/>
            </w:tcMar>
          </w:tcPr>
          <w:p>
            <w:pPr>
              <w:spacing w:after="40" w:line="240" w:lineRule="auto"/>
              <w:jc w:val="center"/>
            </w:pPr>
            <w:r>
              <w:rPr>
                <w:b/>
                <w:sz w:val="20"/>
              </w:rPr>
              <w:t>ID</w:t>
            </w:r>
          </w:p>
        </w:tc>
        <w:tc>
          <w:tcPr>
            <w:tcW w:type="dxa" w:w="4968"/>
            <w:vAlign w:val="center"/>
            <w:shd w:fill="DDE5EA"/>
            <w:tcMar>
              <w:top w:w="90" w:type="dxa"/>
              <w:left w:w="90" w:type="dxa"/>
              <w:bottom w:w="90" w:type="dxa"/>
              <w:right w:w="90" w:type="dxa"/>
            </w:tcMar>
          </w:tcPr>
          <w:p>
            <w:pPr>
              <w:spacing w:after="40" w:line="240" w:lineRule="auto"/>
            </w:pPr>
            <w:r>
              <w:rPr>
                <w:b/>
                <w:sz w:val="20"/>
              </w:rPr>
              <w:t>Modification relative to the main baseline</w:t>
            </w:r>
          </w:p>
        </w:tc>
        <w:tc>
          <w:tcPr>
            <w:tcW w:type="dxa" w:w="4248"/>
            <w:vAlign w:val="center"/>
            <w:shd w:fill="DDE5EA"/>
            <w:tcMar>
              <w:top w:w="90" w:type="dxa"/>
              <w:left w:w="90" w:type="dxa"/>
              <w:bottom w:w="90" w:type="dxa"/>
              <w:right w:w="90" w:type="dxa"/>
            </w:tcMar>
          </w:tcPr>
          <w:p>
            <w:pPr>
              <w:spacing w:after="40" w:line="240" w:lineRule="auto"/>
            </w:pPr>
            <w:r>
              <w:rPr>
                <w:b/>
                <w:sz w:val="20"/>
              </w:rPr>
              <w:t>Question</w:t>
            </w:r>
          </w:p>
        </w:tc>
      </w:tr>
      <w:tr>
        <w:trPr>
          <w:cantSplit/>
        </w:trPr>
        <w:tc>
          <w:tcPr>
            <w:tcW w:type="dxa" w:w="720"/>
            <w:vAlign w:val="center"/>
            <w:shd w:fill="FFFFFF"/>
            <w:tcMar>
              <w:top w:w="90" w:type="dxa"/>
              <w:left w:w="90" w:type="dxa"/>
              <w:bottom w:w="90" w:type="dxa"/>
              <w:right w:w="90" w:type="dxa"/>
            </w:tcMar>
          </w:tcPr>
          <w:p>
            <w:pPr>
              <w:spacing w:after="40" w:line="240" w:lineRule="auto"/>
              <w:jc w:val="center"/>
            </w:pPr>
            <w:r>
              <w:rPr>
                <w:b w:val="0"/>
                <w:sz w:val="20"/>
              </w:rPr>
              <w:t>M1</w:t>
            </w:r>
          </w:p>
        </w:tc>
        <w:tc>
          <w:tcPr>
            <w:tcW w:type="dxa" w:w="4968"/>
            <w:vAlign w:val="center"/>
            <w:shd w:fill="FFFFFF"/>
            <w:tcMar>
              <w:top w:w="90" w:type="dxa"/>
              <w:left w:w="90" w:type="dxa"/>
              <w:bottom w:w="90" w:type="dxa"/>
              <w:right w:w="90" w:type="dxa"/>
            </w:tcMar>
          </w:tcPr>
          <w:p>
            <w:pPr>
              <w:spacing w:after="40" w:line="240" w:lineRule="auto"/>
            </w:pPr>
            <w:r>
              <w:rPr>
                <w:b w:val="0"/>
                <w:sz w:val="20"/>
              </w:rPr>
              <w:t>B1 with pair-preserving fusion</w:t>
            </w:r>
          </w:p>
        </w:tc>
        <w:tc>
          <w:tcPr>
            <w:tcW w:type="dxa" w:w="4248"/>
            <w:vAlign w:val="center"/>
            <w:shd w:fill="FFFFFF"/>
            <w:tcMar>
              <w:top w:w="90" w:type="dxa"/>
              <w:left w:w="90" w:type="dxa"/>
              <w:bottom w:w="90" w:type="dxa"/>
              <w:right w:w="90" w:type="dxa"/>
            </w:tcMar>
          </w:tcPr>
          <w:p>
            <w:pPr>
              <w:spacing w:after="40" w:line="240" w:lineRule="auto"/>
            </w:pPr>
            <w:r>
              <w:rPr>
                <w:b w:val="0"/>
                <w:sz w:val="20"/>
              </w:rPr>
              <w:t>Does pair information improve pooling?</w:t>
            </w:r>
          </w:p>
        </w:tc>
      </w:tr>
      <w:tr>
        <w:trPr>
          <w:cantSplit/>
        </w:trPr>
        <w:tc>
          <w:tcPr>
            <w:tcW w:type="dxa" w:w="720"/>
            <w:vAlign w:val="center"/>
            <w:shd w:fill="FFFFFF"/>
            <w:tcMar>
              <w:top w:w="90" w:type="dxa"/>
              <w:left w:w="90" w:type="dxa"/>
              <w:bottom w:w="90" w:type="dxa"/>
              <w:right w:w="90" w:type="dxa"/>
            </w:tcMar>
          </w:tcPr>
          <w:p>
            <w:pPr>
              <w:spacing w:after="40" w:line="240" w:lineRule="auto"/>
              <w:jc w:val="center"/>
            </w:pPr>
            <w:r>
              <w:rPr>
                <w:b w:val="0"/>
                <w:sz w:val="20"/>
              </w:rPr>
              <w:t>M2</w:t>
            </w:r>
          </w:p>
        </w:tc>
        <w:tc>
          <w:tcPr>
            <w:tcW w:type="dxa" w:w="4968"/>
            <w:vAlign w:val="center"/>
            <w:shd w:fill="FFFFFF"/>
            <w:tcMar>
              <w:top w:w="90" w:type="dxa"/>
              <w:left w:w="90" w:type="dxa"/>
              <w:bottom w:w="90" w:type="dxa"/>
              <w:right w:w="90" w:type="dxa"/>
            </w:tcMar>
          </w:tcPr>
          <w:p>
            <w:pPr>
              <w:spacing w:after="40" w:line="240" w:lineRule="auto"/>
            </w:pPr>
            <w:r>
              <w:rPr>
                <w:b w:val="0"/>
                <w:sz w:val="20"/>
              </w:rPr>
              <w:t>M1 with relative displacement, distance and velocity</w:t>
            </w:r>
          </w:p>
        </w:tc>
        <w:tc>
          <w:tcPr>
            <w:tcW w:type="dxa" w:w="4248"/>
            <w:vAlign w:val="center"/>
            <w:shd w:fill="FFFFFF"/>
            <w:tcMar>
              <w:top w:w="90" w:type="dxa"/>
              <w:left w:w="90" w:type="dxa"/>
              <w:bottom w:w="90" w:type="dxa"/>
              <w:right w:w="90" w:type="dxa"/>
            </w:tcMar>
          </w:tcPr>
          <w:p>
            <w:pPr>
              <w:spacing w:after="40" w:line="240" w:lineRule="auto"/>
            </w:pPr>
            <w:r>
              <w:rPr>
                <w:b w:val="0"/>
                <w:sz w:val="20"/>
              </w:rPr>
              <w:t>Does explicit geometry help?</w:t>
            </w:r>
          </w:p>
        </w:tc>
      </w:tr>
      <w:tr>
        <w:trPr>
          <w:cantSplit/>
        </w:trPr>
        <w:tc>
          <w:tcPr>
            <w:tcW w:type="dxa" w:w="720"/>
            <w:vAlign w:val="center"/>
            <w:shd w:fill="FFFFFF"/>
            <w:tcMar>
              <w:top w:w="90" w:type="dxa"/>
              <w:left w:w="90" w:type="dxa"/>
              <w:bottom w:w="90" w:type="dxa"/>
              <w:right w:w="90" w:type="dxa"/>
            </w:tcMar>
          </w:tcPr>
          <w:p>
            <w:pPr>
              <w:spacing w:after="40" w:line="240" w:lineRule="auto"/>
              <w:jc w:val="center"/>
            </w:pPr>
            <w:r>
              <w:rPr>
                <w:b w:val="0"/>
                <w:sz w:val="20"/>
              </w:rPr>
              <w:t>C1</w:t>
            </w:r>
          </w:p>
        </w:tc>
        <w:tc>
          <w:tcPr>
            <w:tcW w:type="dxa" w:w="4968"/>
            <w:vAlign w:val="center"/>
            <w:shd w:fill="FFFFFF"/>
            <w:tcMar>
              <w:top w:w="90" w:type="dxa"/>
              <w:left w:w="90" w:type="dxa"/>
              <w:bottom w:w="90" w:type="dxa"/>
              <w:right w:w="90" w:type="dxa"/>
            </w:tcMar>
          </w:tcPr>
          <w:p>
            <w:pPr>
              <w:spacing w:after="40" w:line="240" w:lineRule="auto"/>
            </w:pPr>
            <w:r>
              <w:rPr>
                <w:b w:val="0"/>
                <w:sz w:val="20"/>
              </w:rPr>
              <w:t>B1 with a capacity-matched ordinary head</w:t>
            </w:r>
          </w:p>
        </w:tc>
        <w:tc>
          <w:tcPr>
            <w:tcW w:type="dxa" w:w="4248"/>
            <w:vAlign w:val="center"/>
            <w:shd w:fill="FFFFFF"/>
            <w:tcMar>
              <w:top w:w="90" w:type="dxa"/>
              <w:left w:w="90" w:type="dxa"/>
              <w:bottom w:w="90" w:type="dxa"/>
              <w:right w:w="90" w:type="dxa"/>
            </w:tcMar>
          </w:tcPr>
          <w:p>
            <w:pPr>
              <w:spacing w:after="40" w:line="240" w:lineRule="auto"/>
            </w:pPr>
            <w:r>
              <w:rPr>
                <w:b w:val="0"/>
                <w:sz w:val="20"/>
              </w:rPr>
              <w:t>Is extra capacity sufficient?</w:t>
            </w:r>
          </w:p>
        </w:tc>
      </w:tr>
      <w:tr>
        <w:trPr>
          <w:cantSplit/>
        </w:trPr>
        <w:tc>
          <w:tcPr>
            <w:tcW w:type="dxa" w:w="720"/>
            <w:vAlign w:val="center"/>
            <w:shd w:fill="FFFFFF"/>
            <w:tcMar>
              <w:top w:w="90" w:type="dxa"/>
              <w:left w:w="90" w:type="dxa"/>
              <w:bottom w:w="90" w:type="dxa"/>
              <w:right w:w="90" w:type="dxa"/>
            </w:tcMar>
          </w:tcPr>
          <w:p>
            <w:pPr>
              <w:spacing w:after="40" w:line="240" w:lineRule="auto"/>
              <w:jc w:val="center"/>
            </w:pPr>
            <w:r>
              <w:rPr>
                <w:b w:val="0"/>
                <w:sz w:val="20"/>
              </w:rPr>
              <w:t>C2</w:t>
            </w:r>
          </w:p>
        </w:tc>
        <w:tc>
          <w:tcPr>
            <w:tcW w:type="dxa" w:w="4968"/>
            <w:vAlign w:val="center"/>
            <w:shd w:fill="FFFFFF"/>
            <w:tcMar>
              <w:top w:w="90" w:type="dxa"/>
              <w:left w:w="90" w:type="dxa"/>
              <w:bottom w:w="90" w:type="dxa"/>
              <w:right w:w="90" w:type="dxa"/>
            </w:tcMar>
          </w:tcPr>
          <w:p>
            <w:pPr>
              <w:spacing w:after="40" w:line="240" w:lineRule="auto"/>
            </w:pPr>
            <w:r>
              <w:rPr>
                <w:b w:val="0"/>
                <w:sz w:val="20"/>
              </w:rPr>
              <w:t>M2 without SkeletonX</w:t>
            </w:r>
          </w:p>
        </w:tc>
        <w:tc>
          <w:tcPr>
            <w:tcW w:type="dxa" w:w="4248"/>
            <w:vAlign w:val="center"/>
            <w:shd w:fill="FFFFFF"/>
            <w:tcMar>
              <w:top w:w="90" w:type="dxa"/>
              <w:left w:w="90" w:type="dxa"/>
              <w:bottom w:w="90" w:type="dxa"/>
              <w:right w:w="90" w:type="dxa"/>
            </w:tcMar>
          </w:tcPr>
          <w:p>
            <w:pPr>
              <w:spacing w:after="40" w:line="240" w:lineRule="auto"/>
            </w:pPr>
            <w:r>
              <w:rPr>
                <w:b w:val="0"/>
                <w:sz w:val="20"/>
              </w:rPr>
              <w:t>Does the representation help independently?</w:t>
            </w:r>
          </w:p>
        </w:tc>
      </w:tr>
    </w:tbl>
    <w:p>
      <w:pPr>
        <w:spacing w:after="0"/>
      </w:pPr>
    </w:p>
    <w:p>
      <w:pPr>
        <w:pStyle w:val="Heading2"/>
      </w:pPr>
      <w:r>
        <w:t>Methodology</w:t>
      </w:r>
    </w:p>
    <w:p>
      <w:r>
        <w:t>For M1, retain person features before person averaging. A minimal candidate combines their sum and absolute difference in a lightweight head. Keep backbone weights shared and specify the spatial and temporal pooling locations. This makes the fusion rule symmetric, but preprocessing and slot-dependent normalization must still be audited for whole-model invariance.</w:t>
      </w:r>
    </w:p>
    <w:p>
      <w:r>
        <w:t>For M2, encode relative joint displacement, its Euclidean distance and its change over time. Compute these features in a shared coordinate frame with validity masks. If individual streams are centered separately, preserve common-frame coordinates for the relation branch. Use actual time intervals for velocity. Encode both ordered person relations and aggregate them symmetrically for sequence classification.</w:t>
      </w:r>
    </w:p>
    <w:p>
      <w:r>
        <w:t>Distance is derived from displacement, so a distance branch tests an inductive bias rather than new independent information. Freeze the SkeletonX feature interface across M1 and M2; do not introduce different aggregation stages as an uncontrolled change.</w:t>
      </w:r>
    </w:p>
    <w:p>
      <w:r>
        <w:t>Compare B1, M1, M1 with displacement, M1 with displacement and distance, and full M2. Supplement this sequence with M2 minus each relation component. For C1, match each target model’s parameter count within a provisional 5%, using only already-fused baseline features. Report computation as well as parameters. B0, B1, C2 and M2 form the strategy-by-representation comparison.</w:t>
      </w:r>
    </w:p>
    <w:p>
      <w:pPr>
        <w:pStyle w:val="Heading2"/>
      </w:pPr>
      <w:r>
        <w:t>Samples and evaluation</w:t>
      </w:r>
    </w:p>
    <w:p>
      <w:r>
        <w:t>Use the same XSub samples and training seeds for all variants. Confirm the core models under XSet. Compare Macro-F1, Top-1, per-class recall, parameter count and throughput. Freeze the primary comparison as M2 versus B1; interpret the other contrasts as component and mechanism evidence.</w:t>
      </w:r>
    </w:p>
    <w:p>
      <w:r>
        <w:t>Support for the proposed representation is stronger when M2 improves over B1 and the capacity control, and relevant removal ablations reduce performance. An incremental gain alone cannot isolate all component interactions. Report negative and redundant-component results as well as improvements.</w:t>
      </w:r>
    </w:p>
    <w:p>
      <w:r>
        <w:br w:type="page"/>
      </w:r>
    </w:p>
    <w:p>
      <w:pPr>
        <w:pStyle w:val="Heading1"/>
      </w:pPr>
      <w:r>
        <w:t>Experiment 3 Identity Swap</w:t>
      </w:r>
    </w:p>
    <w:p>
      <w:r>
        <w:rPr>
          <w:b/>
        </w:rPr>
        <w:t xml:space="preserve">Revision to the original proposal. </w:t>
      </w:r>
      <w:r>
        <w:t>Split the original identity-swap test into person-order consistency and temporal identity disruption. Remove the expectation that swapping input indices should change a directional action class.</w:t>
      </w:r>
    </w:p>
    <w:p>
      <w:pPr>
        <w:pStyle w:val="Heading2"/>
      </w:pPr>
      <w:r>
        <w:t>Goal</w:t>
      </w:r>
    </w:p>
    <w:p>
      <w:r>
        <w:t>Determine whether predictions depend on arbitrary person-slot names, and separately measure the effect of breaking the continuity of a person’s trajectory.</w:t>
      </w:r>
    </w:p>
    <w:p>
      <w:pPr>
        <w:pStyle w:val="Heading2"/>
      </w:pPr>
      <w:r>
        <w:t>Method A Whole sequence person swap</w:t>
      </w:r>
    </w:p>
    <w:p>
      <w:r>
        <w:t>Exchange A and B in every frame, including validity masks, confidence values and any person-specific features. Recompute relative features consistently. Evaluate both the original and swapped input with deterministic inference and the same checkpoint.</w:t>
      </w:r>
    </w:p>
    <w:p>
      <w:r>
        <w:t>The expected sequence label remains unchanged for all 26 classes, including pushing and giving an object. The physical participants and their actions are unchanged; only their array positions differ. Test swapping before preprocessing and directly at the model input to distinguish ordering or centering effects from network effects.</w:t>
      </w:r>
    </w:p>
    <w:p>
      <w:pPr>
        <w:pStyle w:val="Heading2"/>
      </w:pPr>
      <w:r>
        <w:t>Method B Temporal identity disruption</w:t>
      </w:r>
    </w:p>
    <w:p>
      <w:r>
        <w:t>Create separate test versions that exchange the two person tracks after 25%, 50% or 75% of the sequence. Each version preserves the unordered set of skeletons in each frame while breaking person continuity. Apply the same transformation to all methods and recompute dependent features after the switch.</w:t>
      </w:r>
    </w:p>
    <w:p>
      <w:r>
        <w:t>Run the diagnosis on a common subset with two sufficiently valid tracks and disclose the eligibility rule and coverage. Also report results on the full retained set where the transformation is meaningful. Do not retrain a model for each perturbation condition.</w:t>
      </w:r>
    </w:p>
    <w:p>
      <w:pPr>
        <w:pStyle w:val="Heading2"/>
      </w:pPr>
      <w:r>
        <w:t>Evaluation criteria</w:t>
      </w:r>
    </w:p>
    <w:p>
      <w:r>
        <w:t>For whole-sequence swaps, report the fraction of clips whose predicted class changes, the mean total-variation distance between class-probability vectors, and the change in accuracy. Total variation is half the sum of absolute class-probability differences. Accuracy alone can hide prediction flips that cancel out.</w:t>
      </w:r>
    </w:p>
    <w:p>
      <w:r>
        <w:t>For temporal switches, report the loss in accuracy and Macro-F1 relative to the clean input at each switch location, with per-group breakdowns. A larger loss indicates greater sensitivity to disrupted trajectories; it is not automatically a desirable property or proof of successful identity reasoning.</w:t>
      </w:r>
    </w:p>
    <w:p>
      <w:pPr>
        <w:pStyle w:val="Heading2"/>
      </w:pPr>
      <w:r>
        <w:t>Controls and limits</w:t>
      </w:r>
    </w:p>
    <w:p>
      <w:r>
        <w:t>Temporal switches also create motion discontinuities, so this test does not isolate identity from every kinematic artifact. For person-agnostic framewise fused heatmaps, these index swaps should leave the heatmap input unchanged; verify this as a pipeline sanity check.</w:t>
      </w:r>
    </w:p>
    <w:p>
      <w:r>
        <w:t>A model claimed to be strictly permutation-invariant should have output differences within a numerically established tolerance across the entire deterministic pipeline. For models without that guarantee, report measured consistency rather than asserting invariance.</w:t>
      </w:r>
    </w:p>
    <w:p>
      <w:r>
        <w:br w:type="page"/>
      </w:r>
    </w:p>
    <w:p>
      <w:pPr>
        <w:pStyle w:val="Heading1"/>
      </w:pPr>
      <w:r>
        <w:t>Experiment 4 Asymmetric Interaction Evaluation</w:t>
      </w:r>
    </w:p>
    <w:p>
      <w:r>
        <w:rPr>
          <w:b/>
        </w:rPr>
        <w:t xml:space="preserve">Revision to the original proposal. </w:t>
      </w:r>
      <w:r>
        <w:t>Retain the focus on unequal participant roles, while separating class-level recognition from identifying which person performs each role.</w:t>
      </w:r>
    </w:p>
    <w:p>
      <w:pPr>
        <w:pStyle w:val="Heading2"/>
      </w:pPr>
      <w:r>
        <w:t>Goal and sample groups</w:t>
      </w:r>
    </w:p>
    <w:p>
      <w:r>
        <w:t>Test whether the proposed representation benefits role-asymmetric categories more than symmetric interactions. Use predictions from the same complete 26-class classifier; do not train a separate selected-class model or remove out-of-group predictions before scoring.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696"/>
        <w:gridCol w:w="864"/>
      </w:tblGrid>
      <w:tr>
        <w:trPr>
          <w:tblHeader/>
          <w:cantSplit/>
        </w:trPr>
        <w:tc>
          <w:tcPr>
            <w:tcW w:type="dxa" w:w="2376"/>
            <w:vAlign w:val="center"/>
            <w:shd w:fill="DDE5EA"/>
            <w:tcMar>
              <w:top w:w="90" w:type="dxa"/>
              <w:left w:w="90" w:type="dxa"/>
              <w:bottom w:w="90" w:type="dxa"/>
              <w:right w:w="90" w:type="dxa"/>
            </w:tcMar>
          </w:tcPr>
          <w:p>
            <w:pPr>
              <w:spacing w:after="40" w:line="240" w:lineRule="auto"/>
              <w:jc w:val="center"/>
            </w:pPr>
            <w:r>
              <w:rPr>
                <w:b/>
                <w:sz w:val="20"/>
              </w:rPr>
              <w:t>Group</w:t>
            </w:r>
          </w:p>
        </w:tc>
        <w:tc>
          <w:tcPr>
            <w:tcW w:type="dxa" w:w="6696"/>
            <w:vAlign w:val="center"/>
            <w:shd w:fill="DDE5EA"/>
            <w:tcMar>
              <w:top w:w="90" w:type="dxa"/>
              <w:left w:w="90" w:type="dxa"/>
              <w:bottom w:w="90" w:type="dxa"/>
              <w:right w:w="90" w:type="dxa"/>
            </w:tcMar>
          </w:tcPr>
          <w:p>
            <w:pPr>
              <w:spacing w:after="40" w:line="240" w:lineRule="auto"/>
            </w:pPr>
            <w:r>
              <w:rPr>
                <w:b/>
                <w:sz w:val="20"/>
              </w:rPr>
              <w:t>Provisional class IDs</w:t>
            </w:r>
          </w:p>
        </w:tc>
        <w:tc>
          <w:tcPr>
            <w:tcW w:type="dxa" w:w="864"/>
            <w:vAlign w:val="center"/>
            <w:shd w:fill="DDE5EA"/>
            <w:tcMar>
              <w:top w:w="90" w:type="dxa"/>
              <w:left w:w="90" w:type="dxa"/>
              <w:bottom w:w="90" w:type="dxa"/>
              <w:right w:w="90" w:type="dxa"/>
            </w:tcMar>
          </w:tcPr>
          <w:p>
            <w:pPr>
              <w:spacing w:after="40" w:line="240" w:lineRule="auto"/>
            </w:pPr>
            <w:r>
              <w:rPr>
                <w:b/>
                <w:sz w:val="20"/>
              </w:rPr>
              <w:t>Count</w:t>
            </w:r>
          </w:p>
        </w:tc>
      </w:tr>
      <w:tr>
        <w:trPr>
          <w:cantSplit/>
        </w:trPr>
        <w:tc>
          <w:tcPr>
            <w:tcW w:type="dxa" w:w="2376"/>
            <w:vAlign w:val="center"/>
            <w:shd w:fill="FFFFFF"/>
            <w:tcMar>
              <w:top w:w="90" w:type="dxa"/>
              <w:left w:w="90" w:type="dxa"/>
              <w:bottom w:w="90" w:type="dxa"/>
              <w:right w:w="90" w:type="dxa"/>
            </w:tcMar>
          </w:tcPr>
          <w:p>
            <w:pPr>
              <w:spacing w:after="40" w:line="240" w:lineRule="auto"/>
              <w:jc w:val="center"/>
            </w:pPr>
            <w:r>
              <w:rPr>
                <w:b w:val="0"/>
                <w:sz w:val="20"/>
              </w:rPr>
              <w:t>Role-asymmetric</w:t>
            </w:r>
          </w:p>
        </w:tc>
        <w:tc>
          <w:tcPr>
            <w:tcW w:type="dxa" w:w="6696"/>
            <w:vAlign w:val="center"/>
            <w:shd w:fill="FFFFFF"/>
            <w:tcMar>
              <w:top w:w="90" w:type="dxa"/>
              <w:left w:w="90" w:type="dxa"/>
              <w:bottom w:w="90" w:type="dxa"/>
              <w:right w:w="90" w:type="dxa"/>
            </w:tcMar>
          </w:tcPr>
          <w:p>
            <w:pPr>
              <w:spacing w:after="40" w:line="240" w:lineRule="auto"/>
            </w:pPr>
            <w:r>
              <w:rPr>
                <w:b w:val="0"/>
                <w:sz w:val="20"/>
              </w:rPr>
              <w:t>A050–A054, A056–A057, A106–A111, A115–A116, A119</w:t>
            </w:r>
          </w:p>
        </w:tc>
        <w:tc>
          <w:tcPr>
            <w:tcW w:type="dxa" w:w="864"/>
            <w:vAlign w:val="center"/>
            <w:shd w:fill="FFFFFF"/>
            <w:tcMar>
              <w:top w:w="90" w:type="dxa"/>
              <w:left w:w="90" w:type="dxa"/>
              <w:bottom w:w="90" w:type="dxa"/>
              <w:right w:w="90" w:type="dxa"/>
            </w:tcMar>
          </w:tcPr>
          <w:p>
            <w:pPr>
              <w:spacing w:after="40" w:line="240" w:lineRule="auto"/>
            </w:pPr>
            <w:r>
              <w:rPr>
                <w:b w:val="0"/>
                <w:sz w:val="20"/>
              </w:rPr>
              <w:t>16</w:t>
            </w:r>
          </w:p>
        </w:tc>
      </w:tr>
      <w:tr>
        <w:trPr>
          <w:cantSplit/>
        </w:trPr>
        <w:tc>
          <w:tcPr>
            <w:tcW w:type="dxa" w:w="2376"/>
            <w:vAlign w:val="center"/>
            <w:shd w:fill="FFFFFF"/>
            <w:tcMar>
              <w:top w:w="90" w:type="dxa"/>
              <w:left w:w="90" w:type="dxa"/>
              <w:bottom w:w="90" w:type="dxa"/>
              <w:right w:w="90" w:type="dxa"/>
            </w:tcMar>
          </w:tcPr>
          <w:p>
            <w:pPr>
              <w:spacing w:after="40" w:line="240" w:lineRule="auto"/>
              <w:jc w:val="center"/>
            </w:pPr>
            <w:r>
              <w:rPr>
                <w:b w:val="0"/>
                <w:sz w:val="20"/>
              </w:rPr>
              <w:t>Symmetric or mutual</w:t>
            </w:r>
          </w:p>
        </w:tc>
        <w:tc>
          <w:tcPr>
            <w:tcW w:type="dxa" w:w="6696"/>
            <w:vAlign w:val="center"/>
            <w:shd w:fill="FFFFFF"/>
            <w:tcMar>
              <w:top w:w="90" w:type="dxa"/>
              <w:left w:w="90" w:type="dxa"/>
              <w:bottom w:w="90" w:type="dxa"/>
              <w:right w:w="90" w:type="dxa"/>
            </w:tcMar>
          </w:tcPr>
          <w:p>
            <w:pPr>
              <w:spacing w:after="40" w:line="240" w:lineRule="auto"/>
            </w:pPr>
            <w:r>
              <w:rPr>
                <w:b w:val="0"/>
                <w:sz w:val="20"/>
              </w:rPr>
              <w:t>A055, A058–A060, A112–A114, A118, A120</w:t>
            </w:r>
          </w:p>
        </w:tc>
        <w:tc>
          <w:tcPr>
            <w:tcW w:type="dxa" w:w="864"/>
            <w:vAlign w:val="center"/>
            <w:shd w:fill="FFFFFF"/>
            <w:tcMar>
              <w:top w:w="90" w:type="dxa"/>
              <w:left w:w="90" w:type="dxa"/>
              <w:bottom w:w="90" w:type="dxa"/>
              <w:right w:w="90" w:type="dxa"/>
            </w:tcMar>
          </w:tcPr>
          <w:p>
            <w:pPr>
              <w:spacing w:after="40" w:line="240" w:lineRule="auto"/>
            </w:pPr>
            <w:r>
              <w:rPr>
                <w:b w:val="0"/>
                <w:sz w:val="20"/>
              </w:rPr>
              <w:t>9</w:t>
            </w:r>
          </w:p>
        </w:tc>
      </w:tr>
      <w:tr>
        <w:trPr>
          <w:cantSplit/>
        </w:trPr>
        <w:tc>
          <w:tcPr>
            <w:tcW w:type="dxa" w:w="2376"/>
            <w:vAlign w:val="center"/>
            <w:shd w:fill="FFFFFF"/>
            <w:tcMar>
              <w:top w:w="90" w:type="dxa"/>
              <w:left w:w="90" w:type="dxa"/>
              <w:bottom w:w="90" w:type="dxa"/>
              <w:right w:w="90" w:type="dxa"/>
            </w:tcMar>
          </w:tcPr>
          <w:p>
            <w:pPr>
              <w:spacing w:after="40" w:line="240" w:lineRule="auto"/>
              <w:jc w:val="center"/>
            </w:pPr>
            <w:r>
              <w:rPr>
                <w:b w:val="0"/>
                <w:sz w:val="20"/>
              </w:rPr>
              <w:t>Review separately</w:t>
            </w:r>
          </w:p>
        </w:tc>
        <w:tc>
          <w:tcPr>
            <w:tcW w:type="dxa" w:w="6696"/>
            <w:vAlign w:val="center"/>
            <w:shd w:fill="FFFFFF"/>
            <w:tcMar>
              <w:top w:w="90" w:type="dxa"/>
              <w:left w:w="90" w:type="dxa"/>
              <w:bottom w:w="90" w:type="dxa"/>
              <w:right w:w="90" w:type="dxa"/>
            </w:tcMar>
          </w:tcPr>
          <w:p>
            <w:pPr>
              <w:spacing w:after="40" w:line="240" w:lineRule="auto"/>
            </w:pPr>
            <w:r>
              <w:rPr>
                <w:b w:val="0"/>
                <w:sz w:val="20"/>
              </w:rPr>
              <w:t>A117 whisper</w:t>
            </w:r>
          </w:p>
        </w:tc>
        <w:tc>
          <w:tcPr>
            <w:tcW w:type="dxa" w:w="864"/>
            <w:vAlign w:val="center"/>
            <w:shd w:fill="FFFFFF"/>
            <w:tcMar>
              <w:top w:w="90" w:type="dxa"/>
              <w:left w:w="90" w:type="dxa"/>
              <w:bottom w:w="90" w:type="dxa"/>
              <w:right w:w="90" w:type="dxa"/>
            </w:tcMar>
          </w:tcPr>
          <w:p>
            <w:pPr>
              <w:spacing w:after="40" w:line="240" w:lineRule="auto"/>
            </w:pPr>
            <w:r>
              <w:rPr>
                <w:b w:val="0"/>
                <w:sz w:val="20"/>
              </w:rPr>
              <w:t>1</w:t>
            </w:r>
          </w:p>
        </w:tc>
      </w:tr>
    </w:tbl>
    <w:p>
      <w:pPr>
        <w:spacing w:after="0"/>
      </w:pPr>
    </w:p>
    <w:p>
      <w:r>
        <w:t>These are proposed analytical groups based on the official class descriptions, not additional official annotations. Two group members should review class definitions and training examples, resolve ambiguous cases and freeze membership before seeing final test results. [4]</w:t>
      </w:r>
    </w:p>
    <w:p>
      <w:pPr>
        <w:pStyle w:val="Heading2"/>
      </w:pPr>
      <w:r>
        <w:t>Methodology</w:t>
      </w:r>
    </w:p>
    <w:p>
      <w:r>
        <w:t>Compute per-class recall over the full test set, then average class recalls within each fixed group. Compare the improvement from B1 to M1 and M2. Report whether the gain on asymmetric classes exceeds the gain on symmetric classes, together with uncertainty and the number of examples in every class.</w:t>
      </w:r>
    </w:p>
    <w:p>
      <w:r>
        <w:t>Inspect confusion pairs and select examples using a fixed rule that includes corrected predictions, persistent errors and regressions. Reviewers should examine the skeleton trajectories and relevant video, where available, to identify plausible failure patterns without treating visual anecdotes as aggregate evidence.</w:t>
      </w:r>
    </w:p>
    <w:p>
      <w:pPr>
        <w:pStyle w:val="Heading2"/>
      </w:pPr>
      <w:r>
        <w:t>Evaluation and claim boundaries</w:t>
      </w:r>
    </w:p>
    <w:p>
      <w:r>
        <w:t>Evidence for the asymmetric-interaction hypothesis requires improvement across the predefined group, not only one favorable class. Report all 26 per-class results. If gains are restricted to a few classes, identify that scope explicitly; if both groups improve similarly, avoid claiming a specifically role-related advantage.</w:t>
      </w:r>
    </w:p>
    <w:p>
      <w:r>
        <w:t>The dataset’s sequence action labels do not assign the acting role to an input slot. Therefore, improved asymmetric-class recall does not directly establish actor identification. If that stronger claim is needed, add an optional annotated subset with acting-person track labels, independent double annotation, adjudication and an explicit ambiguous category.</w:t>
      </w:r>
    </w:p>
    <w:p>
      <w:r>
        <w:t>Fit any role probe using training-side annotations only. Report acting-person identification accuracy on held-out annotated clips, annotation agreement and the proportion of clips with an unambiguous role. Without this extension, limit the conclusion to interaction recognition and temporal continuity.</w:t>
      </w:r>
    </w:p>
    <w:p>
      <w:r>
        <w:br w:type="page"/>
      </w:r>
    </w:p>
    <w:p>
      <w:pPr>
        <w:pStyle w:val="Heading1"/>
      </w:pPr>
      <w:r>
        <w:t>Shared Reporting and Decision Criteria</w:t>
      </w:r>
    </w:p>
    <w:p>
      <w:pPr>
        <w:pStyle w:val="Heading2"/>
      </w:pPr>
      <w:r>
        <w:t>Primary outcomes and statistical reporting</w:t>
      </w:r>
    </w:p>
    <w:p>
      <w:r>
        <w:t>Use 26-class Macro-F1 as the primary endpoint and M2 versus B1 as the primary contrast. Also report Top-1, per-class recall and support, swap consistency, perturbation degradation and efficiency. Run B0, B1, M1 and M2 with three predefined paired seeds and report means and standard deviations; do not select the best seed.</w:t>
      </w:r>
    </w:p>
    <w:p>
      <w:r>
        <w:t>Save per-sequence probabilities for paired comparisons. Estimate 95% confidence intervals using grouped resampling by subject or capture group, with the grouping and resampling procedure disclosed. This avoids treating synchronized camera views as independent evidence. Report seed variability separately; sample resampling is not a substitute for repeated training. Treat component and per-class analyses as exploratory unless their tests and multiplicity correction are specified in advance.</w:t>
      </w:r>
    </w:p>
    <w:p>
      <w:pPr>
        <w:pStyle w:val="Heading2"/>
      </w:pPr>
      <w:r>
        <w:t>Provisional practical targets</w:t>
      </w:r>
    </w:p>
    <w:p>
      <w:r>
        <w:t>Before final testing, agree whether a gain of at least 1.0 percentage point in XSub Macro-F1 is practically meaningful. A proposed positive finding should combine a positive paired confidence interval, an advantage over the capacity control and a same-direction result under XSet. If XSet disagrees, limit the generalization claim. These are project targets, not literature-mandated thresholds.</w:t>
      </w:r>
    </w:p>
    <w:p>
      <w:r>
        <w:t>Provisional efficiency targets are no more than 10% extra inference parameters and no more than 15% throughput loss relative to B1. Report tradeoffs when these are exceeded. Measure throughput on the same GPU, batch size, clip length and precision, with warm-up and synchronization; separately report batch-one median and P95 latency. State whether preprocessing and transfer are timed.</w:t>
      </w:r>
    </w:p>
    <w:p>
      <w:pPr>
        <w:pStyle w:val="Heading2"/>
      </w:pPr>
      <w:r>
        <w:t>Execution and required outputs</w:t>
      </w:r>
    </w:p>
    <w:p>
      <w:r>
        <w:t>First freeze the data manifest and run B0/B1 pilots to measure cost and validate SkeletonX pairing. Develop M1/M2 and the essential controls on XSub, then freeze the design. The four core models across two protocols and three seeds require 24 training runs; capacity controls, PoseC3D and detailed ablations are additional. Allocate the remaining budget from measured GPU hours rather than assumed run times.</w:t>
      </w:r>
    </w:p>
    <w:p>
      <w:r>
        <w:t>Deliver the sample-count table, main comparison, component ablations, swap tests, all-class confusion matrix, representative errors and run records. Record code commit, configuration, seed, data fingerprint, checkpoint, environment and GPU hours. A null result remains valid if the comparison is controlled; engineering completion and support for the hypothesis are separate decisions.</w:t>
      </w:r>
    </w:p>
    <w:p>
      <w:pPr>
        <w:pStyle w:val="Heading2"/>
      </w:pPr>
      <w:r>
        <w:t>References and source proposal</w:t>
      </w:r>
    </w:p>
    <w:p>
      <w:pPr>
        <w:spacing w:after="60"/>
      </w:pPr>
      <w:r>
        <w:rPr>
          <w:sz w:val="18"/>
        </w:rPr>
        <w:t>Source proposal: Experiments.docx, the original four-experiment outline in this folder.</w:t>
      </w:r>
    </w:p>
    <w:p>
      <w:pPr>
        <w:spacing w:after="60"/>
      </w:pPr>
      <w:r>
        <w:rPr>
          <w:sz w:val="18"/>
        </w:rPr>
        <w:t>[1] Zhang et al. SkeletonX. https://arxiv.org/abs/2504.11749</w:t>
      </w:r>
    </w:p>
    <w:p>
      <w:pPr>
        <w:spacing w:after="60"/>
      </w:pPr>
      <w:r>
        <w:rPr>
          <w:sz w:val="18"/>
        </w:rPr>
        <w:t>[2] SkeletonX official code. https://github.com/zzysteve/SkeletonX</w:t>
      </w:r>
    </w:p>
    <w:p>
      <w:pPr>
        <w:spacing w:after="60"/>
      </w:pPr>
      <w:r>
        <w:rPr>
          <w:sz w:val="18"/>
        </w:rPr>
        <w:t>[3] CTR-GCN official model. https://github.com/Uason-Chen/CTR-GCN/blob/main/model/ctrgcn.py</w:t>
      </w:r>
    </w:p>
    <w:p>
      <w:pPr>
        <w:spacing w:after="60"/>
      </w:pPr>
      <w:r>
        <w:rPr>
          <w:sz w:val="18"/>
        </w:rPr>
        <w:t>[4] NTU class definitions. https://rose1.ntu.edu.sg/dataset/actionRecognition/</w:t>
      </w:r>
    </w:p>
    <w:p>
      <w:pPr>
        <w:spacing w:after="60"/>
      </w:pPr>
      <w:r>
        <w:rPr>
          <w:sz w:val="18"/>
        </w:rPr>
        <w:t>[5] NTU evaluation protocols. https://github.com/shahroudy/NTURGB-D</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4"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4"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Experimental Design for Two Person Action Recognition</dc:title>
  <dc:subject>Additions and revisions to Experiments.docx using a CTR-GCN backbone with SkeletonX</dc:subject>
  <dc:creator>IPPoseRep Research Group</dc:creator>
  <cp:keywords>CTR-GCN, SkeletonX, experimental design, NTU RGB+D 120</cp:keywords>
  <dc:description>generated by python-docx</dc:description>
  <cp:lastModifiedBy/>
  <cp:revision>1</cp:revision>
  <dcterms:created xsi:type="dcterms:W3CDTF">2013-12-23T23:15:00Z</dcterms:created>
  <dcterms:modified xsi:type="dcterms:W3CDTF">2013-12-23T23:15:00Z</dcterms:modified>
  <cp:category/>
</cp:coreProperties>
</file>