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55A7B7">
      <w:pPr>
        <w:pStyle w:val="2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5"/>
          <w:sz w:val="24"/>
          <w:szCs w:val="24"/>
        </w:rPr>
        <w:t>Slide 9</w:t>
      </w:r>
      <w:bookmarkStart w:id="0" w:name="_GoBack"/>
      <w:bookmarkEnd w:id="0"/>
    </w:p>
    <w:p w14:paraId="1EEEA8D4">
      <w:pPr>
        <w:pStyle w:val="2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We propose two experiments to evaluate our representation.</w:t>
      </w:r>
    </w:p>
    <w:p w14:paraId="74F81715">
      <w:pPr>
        <w:pStyle w:val="2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First, we compare plain CTR-GCN with CTR-GCN plus SkeletonX to isolate the training strategy’s contribution. For PoseC3D, we compare fused heatmaps with separate person encoding and late fusion.</w:t>
      </w:r>
    </w:p>
    <w:p w14:paraId="303132BC">
      <w:pPr>
        <w:pStyle w:val="2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Second, M1 preserves pair information during fusion, while M2 adds relative displacement, distance, and velocity. A capacity-matched control checks whether improvements simply come from more parameters. Another control removes SkeletonX.</w:t>
      </w:r>
    </w:p>
    <w:p w14:paraId="73170156">
      <w:pPr>
        <w:pStyle w:val="2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Our main comparison is M2 versus B1, using Macro-F1 and computational cost.</w:t>
      </w:r>
    </w:p>
    <w:p w14:paraId="175577C5">
      <w:pPr>
        <w:pStyle w:val="2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5"/>
          <w:sz w:val="24"/>
          <w:szCs w:val="24"/>
        </w:rPr>
        <w:t>Slide 10</w:t>
      </w:r>
    </w:p>
    <w:p w14:paraId="6865ACE5">
      <w:pPr>
        <w:pStyle w:val="2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The next two experiments test consistency and asymmetric interactions.</w:t>
      </w:r>
    </w:p>
    <w:p w14:paraId="6DDE5072">
      <w:pPr>
        <w:pStyle w:val="2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First, swapping person slots throughout a clip should leave predictions unchanged. Switching tracks partway through instead breaks trajectory continuity, allowing us to measure sensitivity to that disruption.</w:t>
      </w:r>
    </w:p>
    <w:p w14:paraId="28FF129D">
      <w:pPr>
        <w:pStyle w:val="2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Then, we compare improvements across sixteen asymmetric and nine symmetric classes, reviewing whispering separately.</w:t>
      </w:r>
    </w:p>
    <w:p w14:paraId="1B9D4A1C">
      <w:pPr>
        <w:pStyle w:val="2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Better action recognition does not mean identifying the acting person. Our provisional target is a one-percentage-point Macro-F1 gain over B1, supported by uncertainty estimates and Cross-Setup validation.</w:t>
      </w:r>
    </w:p>
    <w:p w14:paraId="5952B75A">
      <w:pPr>
        <w:rPr>
          <w:sz w:val="21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0B87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2026-09-08T15:32:57Z</dcterms:created>
  <dc:creator>86178</dc:creator>
  <cp:lastModifiedBy>梁含璋</cp:lastModifiedBy>
  <dcterms:modified xsi:type="dcterms:W3CDTF">2026-09-08T15:35:05Z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eyJoZGlkIjoiZmJkOWNmNzA2OTE0M2YxMTdmYjczNTBiZWIwNDZjNGEiLCJ1c2VySWQiOiIxNDUwODY0OTU4In0=</vt:lpwstr>
  </property>
  <property fmtid="{D5CDD505-2E9C-101B-9397-08002B2CF9AE}" pid="4" name="ICV">
    <vt:lpwstr>6D7BDEA341E8440887107A7458A42ABE_12</vt:lpwstr>
  </property>
</Properties>
</file>