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AstroDynamics Corp - Internal Operations Manual</w:t>
      </w:r>
    </w:p>
    <w:p>
      <w:pPr>
        <w:pStyle w:val="Heading1"/>
      </w:pPr>
      <w:r>
        <w:t>1. Company Overview</w:t>
      </w:r>
    </w:p>
    <w:p>
      <w:r>
        <w:t>AstroDynamics Corp was founded by Dr. Elena Quasar in 2021. The company is headquartered in Neo-Tokyo and specializes in deep-space propulsion systems.</w:t>
      </w:r>
    </w:p>
    <w:p>
      <w:pPr>
        <w:pStyle w:val="Heading2"/>
      </w:pPr>
      <w:r>
        <w:t>2. The Starlight Engine</w:t>
      </w:r>
    </w:p>
    <w:p>
      <w:r>
        <w:t>The Starlight Engine is our flagship product. It uses a proprietary Ion-Fusion hybrid technology that allows for continuous acceleration up to 0.1c (10% the speed of light).</w:t>
      </w:r>
    </w:p>
    <w:p>
      <w:r>
        <w:t>Official Launch Date: October 14, 2025.</w:t>
      </w:r>
    </w:p>
    <w:p>
      <w:pPr>
        <w:pStyle w:val="Heading1"/>
      </w:pPr>
      <w:r>
        <w:t>3. Known Issues and Maintenance</w:t>
      </w:r>
    </w:p>
    <w:p>
      <w:r>
        <w:t>Engineers should be aware of the following documented issues:</w:t>
      </w:r>
    </w:p>
    <w:p>
      <w:r>
        <w:t>• Fuel Leakage: A minor fuel leak may occur in zero-G environments when the primary valve is at 45% capacity.</w:t>
      </w:r>
    </w:p>
    <w:p>
      <w:r>
        <w:t>• Overheating: Some units have reported overheating during atmospheric exit if the cooling cycle is not engaged 5 minutes prior to takeoff.</w:t>
      </w:r>
    </w:p>
    <w:p>
      <w:pPr>
        <w:pStyle w:val="Heading1"/>
      </w:pPr>
      <w:r>
        <w:t>4. Contact Information</w:t>
      </w:r>
    </w:p>
    <w:p>
      <w:r>
        <w:t>For emergency support, contact Chief Engineer Marcus Sol at m.sol@astrodynamics.internal or call the 24/7 hotline at 555-STAR-99.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