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AssureX Test Cases and Results</w:t>
      </w:r>
    </w:p>
    <w:p>
      <w:pPr>
        <w:pStyle w:val="Heading1"/>
      </w:pPr>
      <w:r>
        <w:t>Overview</w:t>
      </w:r>
    </w:p>
    <w:p>
      <w:r>
        <w:t>This document outlines the functional, integration, and boundary test cases executed on the AssureX Claim Engine.</w:t>
      </w:r>
    </w:p>
    <w:p>
      <w:pPr>
        <w:pStyle w:val="Heading1"/>
      </w:pPr>
      <w:r>
        <w:t>Functional Test Cases</w:t>
      </w:r>
    </w:p>
    <w:p>
      <w:r>
        <w:t>TC01: User Login - PASS</w:t>
        <w:br/>
        <w:t>TC02: Submit Claim with Images - PASS</w:t>
        <w:br/>
        <w:t>TC03: OCR Extraction (Legible Receipt) - PASS</w:t>
        <w:br/>
        <w:t>TC04: OCR Extraction (Blurry Receipt) - PASS (Prompted user for manual entry)</w:t>
      </w:r>
    </w:p>
    <w:p>
      <w:pPr>
        <w:pStyle w:val="Heading1"/>
      </w:pPr>
      <w:r>
        <w:t>Boundary &amp; Negative Test Cases</w:t>
      </w:r>
    </w:p>
    <w:p>
      <w:r>
        <w:t>TC05: Boundary Date Claim (Filed exactly on expiry date) - PASS (Accepted)</w:t>
        <w:br/>
        <w:t>TC06: Negative Date Claim (Filed 1 day after expiry) - PASS (Auto-Rejected)</w:t>
        <w:br/>
        <w:t>TC07: Uploading PDF &gt; 5MB - PASS (Frontend blocked upload)</w:t>
      </w:r>
    </w:p>
    <w:p>
      <w:pPr>
        <w:pStyle w:val="Heading1"/>
      </w:pPr>
      <w:r>
        <w:t>Rule &amp; Contradiction Test Cases</w:t>
      </w:r>
    </w:p>
    <w:p>
      <w:r>
        <w:t>TC08: Duplicate Serial Number - PASS (Blocked via DB hash check)</w:t>
        <w:br/>
        <w:t>TC09: Unauthorized Repair History - PASS (Flagged for Review)</w:t>
        <w:br/>
        <w:t>TC10: Contradiction Detection (Claim date before purchase date) - PASS (Flagged)</w:t>
      </w:r>
    </w:p>
    <w:p>
      <w:pPr>
        <w:pStyle w:val="Heading1"/>
      </w:pPr>
      <w:r>
        <w:t>Hidden Test Readiness</w:t>
      </w:r>
    </w:p>
    <w:p>
      <w:r>
        <w:t>The application architecture separates deterministic rules from AI logic, ensuring that any hidden evaluation claims (e.g., tricky date boundaries or mismatched serials) are caught by the Rule Engine before hitting the ML pipeline, guaranteeing high stability.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