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69A9" w14:textId="2ED39C78" w:rsidR="003E0EAB" w:rsidRDefault="00000000">
      <w:pPr>
        <w:pStyle w:val="Balk1"/>
      </w:pPr>
      <w:bookmarkStart w:id="0" w:name="Xe22853dc96f0b3d3bf5cea3bf138b5b7b681c55"/>
      <w:r>
        <w:t>MAT</w:t>
      </w:r>
      <w:r w:rsidR="00AE2369">
        <w:t xml:space="preserve">LAB </w:t>
      </w:r>
      <w:r>
        <w:t xml:space="preserve">→PyTorch Conversion </w:t>
      </w:r>
      <w:r w:rsidR="00A266AD">
        <w:t>Report</w:t>
      </w:r>
      <w:r>
        <w:t xml:space="preserve"> </w:t>
      </w:r>
      <w:r w:rsidR="00046B9E">
        <w:t>(ODE-Parameters)</w:t>
      </w:r>
    </w:p>
    <w:p w14:paraId="59BF4E56" w14:textId="77777777" w:rsidR="003E0EAB" w:rsidRDefault="00000000">
      <w:r>
        <w:pict w14:anchorId="4C16778E">
          <v:rect id="_x0000_i1025" style="width:0;height:1.5pt" o:hralign="center" o:hrstd="t" o:hr="t"/>
        </w:pict>
      </w:r>
    </w:p>
    <w:p w14:paraId="1B2D2032" w14:textId="77777777" w:rsidR="003E0EAB" w:rsidRDefault="00000000">
      <w:pPr>
        <w:pStyle w:val="Balk2"/>
      </w:pPr>
      <w:bookmarkStart w:id="1" w:name="workflow-parity"/>
      <w:r>
        <w:t>1. Workflow Parity</w:t>
      </w:r>
    </w:p>
    <w:p w14:paraId="2D38E7AC" w14:textId="77777777" w:rsidR="003E0EAB" w:rsidRDefault="00000000">
      <w:pPr>
        <w:pStyle w:val="Balk3"/>
      </w:pPr>
      <w:bookmarkStart w:id="2" w:name="data-ingest-residual-definition"/>
      <w:r>
        <w:t>1.1 Data ingest &amp; residual definition</w:t>
      </w:r>
    </w:p>
    <w:p w14:paraId="7B1C6C3A" w14:textId="77777777" w:rsidR="003E0EAB" w:rsidRDefault="00000000">
      <w:pPr>
        <w:pStyle w:val="FirstParagraph"/>
      </w:pPr>
      <w:r>
        <w:t xml:space="preserve">Both implementations process the Müller sandstone file identically: they log-transform the five measured species, apply the weight vector </w:t>
      </w:r>
      <w:r>
        <w:rPr>
          <w:rStyle w:val="VerbatimChar"/>
        </w:rPr>
        <w:t>[1, 1, 0.5, 0.5, 1]</w:t>
      </w:r>
      <w:r>
        <w:t>, and add a large penalty when any simulated concentration becomes negative. Because the Python code mirrors the MATLAB logic line-for-line, the residual surface is exactly the same.</w:t>
      </w:r>
    </w:p>
    <w:p w14:paraId="0C70D67F" w14:textId="77777777" w:rsidR="003E0EAB" w:rsidRDefault="00000000" w:rsidP="009A2758">
      <w:pPr>
        <w:pStyle w:val="GvdeMetni"/>
        <w:shd w:val="clear" w:color="auto" w:fill="F6C5AC" w:themeFill="accent2" w:themeFillTint="66"/>
      </w:pPr>
      <w:r>
        <w:rPr>
          <w:rStyle w:val="VerbatimChar"/>
        </w:rPr>
        <w:t>matlab_to_pytorch_complete.py</w:t>
      </w:r>
      <w:r>
        <w:t xml:space="preserve"> (Lines 430-447):</w:t>
      </w:r>
    </w:p>
    <w:p w14:paraId="5FE18F7D" w14:textId="77777777" w:rsidR="003E0EAB" w:rsidRDefault="00000000" w:rsidP="009A2758">
      <w:pPr>
        <w:pStyle w:val="SourceCode"/>
        <w:shd w:val="clear" w:color="auto" w:fill="F6C5AC" w:themeFill="accent2" w:themeFillTint="66"/>
      </w:pPr>
      <w:r>
        <w:rPr>
          <w:rStyle w:val="NormalTok"/>
        </w:rPr>
        <w:t xml:space="preserve">weights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>=</w:t>
      </w:r>
      <w:r>
        <w:rPr>
          <w:rStyle w:val="NormalTok"/>
        </w:rPr>
        <w:t xml:space="preserve"> (log_sim </w:t>
      </w:r>
      <w:r>
        <w:rPr>
          <w:rStyle w:val="OperatorTok"/>
        </w:rPr>
        <w:t>-</w:t>
      </w:r>
      <w:r>
        <w:rPr>
          <w:rStyle w:val="NormalTok"/>
        </w:rPr>
        <w:t xml:space="preserve"> log_exp) </w:t>
      </w:r>
      <w:r>
        <w:rPr>
          <w:rStyle w:val="OperatorTok"/>
        </w:rPr>
        <w:t>*</w:t>
      </w:r>
      <w:r>
        <w:rPr>
          <w:rStyle w:val="NormalTok"/>
        </w:rPr>
        <w:t xml:space="preserve"> weights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np.</w:t>
      </w:r>
      <w:r>
        <w:rPr>
          <w:rStyle w:val="BuiltInTok"/>
        </w:rPr>
        <w:t>any</w:t>
      </w:r>
      <w:r>
        <w:rPr>
          <w:rStyle w:val="NormalTok"/>
        </w:rPr>
        <w:t xml:space="preserve">(sol.y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1e-6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penalty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np.</w:t>
      </w:r>
      <w:r>
        <w:rPr>
          <w:rStyle w:val="BuiltInTok"/>
        </w:rPr>
        <w:t>abs</w:t>
      </w:r>
      <w:r>
        <w:rPr>
          <w:rStyle w:val="NormalTok"/>
        </w:rPr>
        <w:t>(np.</w:t>
      </w:r>
      <w:r>
        <w:rPr>
          <w:rStyle w:val="BuiltInTok"/>
        </w:rPr>
        <w:t>min</w:t>
      </w:r>
      <w:r>
        <w:rPr>
          <w:rStyle w:val="NormalTok"/>
        </w:rPr>
        <w:t>(sol.y))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res </w:t>
      </w:r>
      <w:r>
        <w:rPr>
          <w:rStyle w:val="OperatorTok"/>
        </w:rPr>
        <w:t>+</w:t>
      </w:r>
      <w:r>
        <w:rPr>
          <w:rStyle w:val="NormalTok"/>
        </w:rPr>
        <w:t xml:space="preserve"> penalty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res.ravel()</w:t>
      </w:r>
    </w:p>
    <w:p w14:paraId="6B4AA7F1" w14:textId="77777777" w:rsidR="003E0EAB" w:rsidRDefault="00000000" w:rsidP="009A2758">
      <w:pPr>
        <w:pStyle w:val="FirstParagraph"/>
        <w:shd w:val="clear" w:color="auto" w:fill="C1E4F5" w:themeFill="accent1" w:themeFillTint="33"/>
      </w:pPr>
      <w:r>
        <w:rPr>
          <w:rStyle w:val="VerbatimChar"/>
        </w:rPr>
        <w:t>rnn_transport_multiguild_uq_v3.m</w:t>
      </w:r>
      <w:r>
        <w:t xml:space="preserve"> (Lines 229-237):</w:t>
      </w:r>
    </w:p>
    <w:p w14:paraId="2A19BA38" w14:textId="77777777" w:rsidR="003E0EAB" w:rsidRDefault="00000000" w:rsidP="009A2758">
      <w:pPr>
        <w:pStyle w:val="SourceCode"/>
        <w:shd w:val="clear" w:color="auto" w:fill="C1E4F5" w:themeFill="accent1" w:themeFillTint="33"/>
      </w:pPr>
      <w:r>
        <w:rPr>
          <w:rStyle w:val="VariableTok"/>
        </w:rPr>
        <w:t>log_sim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log1p</w:t>
      </w:r>
      <w:r>
        <w:rPr>
          <w:rStyle w:val="NormalTok"/>
        </w:rPr>
        <w:t>(</w:t>
      </w:r>
      <w:r>
        <w:rPr>
          <w:rStyle w:val="VariableTok"/>
        </w:rPr>
        <w:t>y_sim</w:t>
      </w:r>
      <w:r>
        <w:rPr>
          <w:rStyle w:val="NormalTok"/>
        </w:rPr>
        <w:t>(</w:t>
      </w:r>
      <w:r>
        <w:rPr>
          <w:rStyle w:val="OperatorTok"/>
        </w:rPr>
        <w:t>:,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loatTok"/>
        </w:rPr>
        <w:t>5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VariableTok"/>
        </w:rPr>
        <w:t>log_exp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log1p</w:t>
      </w:r>
      <w:r>
        <w:rPr>
          <w:rStyle w:val="NormalTok"/>
        </w:rPr>
        <w:t>(</w:t>
      </w:r>
      <w:r>
        <w:rPr>
          <w:rStyle w:val="VariableTok"/>
        </w:rPr>
        <w:t>data_exp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VariableTok"/>
        </w:rPr>
        <w:t>weights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VariableTok"/>
        </w:rPr>
        <w:t>res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log_sim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log_exp</w:t>
      </w:r>
      <w:r>
        <w:rPr>
          <w:rStyle w:val="NormalTok"/>
        </w:rPr>
        <w:t xml:space="preserve">) </w:t>
      </w:r>
      <w:r>
        <w:rPr>
          <w:rStyle w:val="OperatorTok"/>
        </w:rPr>
        <w:t>.*</w:t>
      </w:r>
      <w:r>
        <w:rPr>
          <w:rStyle w:val="NormalTok"/>
        </w:rPr>
        <w:t xml:space="preserve"> </w:t>
      </w:r>
      <w:r>
        <w:rPr>
          <w:rStyle w:val="VariableTok"/>
        </w:rPr>
        <w:t>weights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any</w:t>
      </w:r>
      <w:r>
        <w:rPr>
          <w:rStyle w:val="NormalTok"/>
        </w:rPr>
        <w:t>(</w:t>
      </w:r>
      <w:r>
        <w:rPr>
          <w:rStyle w:val="VariableTok"/>
        </w:rPr>
        <w:t>y_sim</w:t>
      </w:r>
      <w:r>
        <w:rPr>
          <w:rStyle w:val="NormalTok"/>
        </w:rPr>
        <w:t>(</w:t>
      </w:r>
      <w:r>
        <w:rPr>
          <w:rStyle w:val="OperatorTok"/>
        </w:rPr>
        <w:t>:</w:t>
      </w:r>
      <w:r>
        <w:rPr>
          <w:rStyle w:val="NormalTok"/>
        </w:rPr>
        <w:t xml:space="preserve">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1e-6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res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res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abs</w:t>
      </w:r>
      <w:r>
        <w:rPr>
          <w:rStyle w:val="NormalTok"/>
        </w:rPr>
        <w:t>(</w:t>
      </w:r>
      <w:r>
        <w:rPr>
          <w:rStyle w:val="VariableTok"/>
        </w:rPr>
        <w:t>min</w:t>
      </w:r>
      <w:r>
        <w:rPr>
          <w:rStyle w:val="NormalTok"/>
        </w:rPr>
        <w:t>(</w:t>
      </w:r>
      <w:r>
        <w:rPr>
          <w:rStyle w:val="VariableTok"/>
        </w:rPr>
        <w:t>y_sim</w:t>
      </w:r>
      <w:r>
        <w:rPr>
          <w:rStyle w:val="NormalTok"/>
        </w:rPr>
        <w:t>(</w:t>
      </w:r>
      <w:r>
        <w:rPr>
          <w:rStyle w:val="OperatorTok"/>
        </w:rPr>
        <w:t>:</w:t>
      </w:r>
      <w:r>
        <w:rPr>
          <w:rStyle w:val="NormalTok"/>
        </w:rPr>
        <w:t>)))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end</w:t>
      </w:r>
    </w:p>
    <w:p w14:paraId="3809BEF3" w14:textId="77777777" w:rsidR="003E0EAB" w:rsidRDefault="00000000">
      <w:pPr>
        <w:pStyle w:val="Balk3"/>
      </w:pPr>
      <w:bookmarkStart w:id="3" w:name="optimizer-setup"/>
      <w:bookmarkEnd w:id="2"/>
      <w:r>
        <w:t>1.2 Optimizer setup</w:t>
      </w:r>
    </w:p>
    <w:p w14:paraId="68EF4A7D" w14:textId="77777777" w:rsidR="003E0EAB" w:rsidRDefault="00000000">
      <w:pPr>
        <w:pStyle w:val="FirstParagraph"/>
      </w:pPr>
      <w:r>
        <w:t xml:space="preserve">MATLAB’s </w:t>
      </w:r>
      <w:r>
        <w:rPr>
          <w:rStyle w:val="VerbatimChar"/>
        </w:rPr>
        <w:t>lsqnonlin</w:t>
      </w:r>
      <w:r>
        <w:t xml:space="preserve"> and SciPy’s </w:t>
      </w:r>
      <w:r>
        <w:rPr>
          <w:rStyle w:val="VerbatimChar"/>
        </w:rPr>
        <w:t>least_squares</w:t>
      </w:r>
      <w:r>
        <w:t xml:space="preserve"> both start from the same 13-parameter vector </w:t>
      </w:r>
      <w:r>
        <w:rPr>
          <w:rStyle w:val="VerbatimChar"/>
        </w:rPr>
        <w:t>p0</w:t>
      </w:r>
      <w:r>
        <w:t>, enforce identical lower/upper bounds, and call the same ODE function (</w:t>
      </w:r>
      <w:r>
        <w:rPr>
          <w:rStyle w:val="VerbatimChar"/>
        </w:rPr>
        <w:t>trueODEfunc_multiguild</w:t>
      </w:r>
      <w:r>
        <w:t xml:space="preserve"> / </w:t>
      </w:r>
      <w:r>
        <w:rPr>
          <w:rStyle w:val="VerbatimChar"/>
        </w:rPr>
        <w:t>ode_multiguild</w:t>
      </w:r>
      <w:r>
        <w:t>). The Python script even prints the MATLAB-style parameter tables to prove parity.</w:t>
      </w:r>
    </w:p>
    <w:p w14:paraId="3F0991ED" w14:textId="77777777" w:rsidR="003E0EAB" w:rsidRDefault="00000000" w:rsidP="009A2758">
      <w:pPr>
        <w:pStyle w:val="GvdeMetni"/>
        <w:shd w:val="clear" w:color="auto" w:fill="F6C5AC" w:themeFill="accent2" w:themeFillTint="66"/>
      </w:pPr>
      <w:r>
        <w:rPr>
          <w:rStyle w:val="VerbatimChar"/>
        </w:rPr>
        <w:t>matlab_to_pytorch_complete.py</w:t>
      </w:r>
      <w:r>
        <w:t xml:space="preserve"> (Lines 477-536):</w:t>
      </w:r>
    </w:p>
    <w:p w14:paraId="3E189AEE" w14:textId="77777777" w:rsidR="00317C09" w:rsidRDefault="00000000" w:rsidP="00B64292">
      <w:pPr>
        <w:pStyle w:val="SourceCode"/>
        <w:shd w:val="clear" w:color="auto" w:fill="F6C5AC" w:themeFill="accent2" w:themeFillTint="66"/>
        <w:rPr>
          <w:rStyle w:val="NormalTok"/>
        </w:rPr>
      </w:pPr>
      <w:r>
        <w:rPr>
          <w:rStyle w:val="NormalTok"/>
        </w:rPr>
        <w:t xml:space="preserve">p0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..., </w:t>
      </w:r>
      <w:r>
        <w:rPr>
          <w:rStyle w:val="OperatorTok"/>
        </w:rPr>
        <w:t>-</w:t>
      </w:r>
      <w:r>
        <w:rPr>
          <w:rStyle w:val="FloatTok"/>
        </w:rPr>
        <w:t>10.0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lb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FloatTok"/>
        </w:rPr>
        <w:t>0.001</w:t>
      </w:r>
      <w:r>
        <w:rPr>
          <w:rStyle w:val="NormalTok"/>
        </w:rPr>
        <w:t xml:space="preserve">, </w:t>
      </w:r>
      <w:r>
        <w:rPr>
          <w:rStyle w:val="FloatTok"/>
        </w:rPr>
        <w:t>0.01</w:t>
      </w:r>
      <w:r>
        <w:rPr>
          <w:rStyle w:val="NormalTok"/>
        </w:rPr>
        <w:t xml:space="preserve">, ..., </w:t>
      </w:r>
      <w:r>
        <w:rPr>
          <w:rStyle w:val="OperatorTok"/>
        </w:rPr>
        <w:t>-</w:t>
      </w:r>
      <w:r>
        <w:rPr>
          <w:rStyle w:val="FloatTok"/>
        </w:rPr>
        <w:t>50.0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ub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..., </w:t>
      </w:r>
      <w:r>
        <w:rPr>
          <w:rStyle w:val="FloatTok"/>
        </w:rPr>
        <w:t>0.0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least_squares(</w:t>
      </w:r>
      <w:r>
        <w:br/>
      </w:r>
      <w:r>
        <w:rPr>
          <w:rStyle w:val="NormalTok"/>
        </w:rPr>
        <w:t xml:space="preserve">    fun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p: compute_residuals(p, t_exp, data_exp, x0),</w:t>
      </w:r>
      <w:r>
        <w:br/>
      </w:r>
      <w:r>
        <w:rPr>
          <w:rStyle w:val="NormalTok"/>
        </w:rPr>
        <w:t xml:space="preserve">    x0</w:t>
      </w:r>
      <w:r>
        <w:rPr>
          <w:rStyle w:val="OperatorTok"/>
        </w:rPr>
        <w:t>=</w:t>
      </w:r>
      <w:r>
        <w:rPr>
          <w:rStyle w:val="NormalTok"/>
        </w:rPr>
        <w:t>p0,</w:t>
      </w:r>
    </w:p>
    <w:p w14:paraId="7128713D" w14:textId="0FEC4EC6" w:rsidR="00B325BD" w:rsidRDefault="00317C09" w:rsidP="00317C09">
      <w:pPr>
        <w:pStyle w:val="SourceCode"/>
        <w:shd w:val="clear" w:color="auto" w:fill="F6C5AC" w:themeFill="accent2" w:themeFillTint="66"/>
        <w:rPr>
          <w:rStyle w:val="FloatTok"/>
        </w:rPr>
      </w:pPr>
      <w:r>
        <w:lastRenderedPageBreak/>
        <w:t xml:space="preserve">          </w:t>
      </w:r>
      <w:r w:rsidRPr="003A6336">
        <w:rPr>
          <w:rFonts w:ascii="Consolas" w:hAnsi="Consolas"/>
          <w:sz w:val="22"/>
          <w:szCs w:val="22"/>
        </w:rPr>
        <w:t>verbose=2,</w:t>
      </w:r>
      <w:r w:rsidR="00000000">
        <w:br/>
      </w:r>
      <w:r w:rsidR="00000000">
        <w:rPr>
          <w:rStyle w:val="NormalTok"/>
        </w:rPr>
        <w:t xml:space="preserve">    bounds</w:t>
      </w:r>
      <w:r w:rsidR="00000000">
        <w:rPr>
          <w:rStyle w:val="OperatorTok"/>
        </w:rPr>
        <w:t>=</w:t>
      </w:r>
      <w:r w:rsidR="00000000">
        <w:rPr>
          <w:rStyle w:val="NormalTok"/>
        </w:rPr>
        <w:t>(lb, ub),</w:t>
      </w:r>
      <w:r w:rsidR="00000000">
        <w:br/>
      </w:r>
      <w:r w:rsidR="00000000">
        <w:rPr>
          <w:rStyle w:val="NormalTok"/>
        </w:rPr>
        <w:t xml:space="preserve">    method</w:t>
      </w:r>
      <w:r w:rsidR="00000000">
        <w:rPr>
          <w:rStyle w:val="OperatorTok"/>
        </w:rPr>
        <w:t>=</w:t>
      </w:r>
      <w:r w:rsidR="00000000">
        <w:rPr>
          <w:rStyle w:val="StringTok"/>
        </w:rPr>
        <w:t>'trf'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  ftol</w:t>
      </w:r>
      <w:r w:rsidR="00000000">
        <w:rPr>
          <w:rStyle w:val="OperatorTok"/>
        </w:rPr>
        <w:t>=</w:t>
      </w:r>
      <w:r w:rsidR="00000000">
        <w:rPr>
          <w:rStyle w:val="FloatTok"/>
        </w:rPr>
        <w:t>1e-</w:t>
      </w:r>
      <w:r w:rsidR="00E376B2">
        <w:rPr>
          <w:rStyle w:val="FloatTok"/>
        </w:rPr>
        <w:t>6</w:t>
      </w:r>
      <w:r w:rsidR="00000000">
        <w:rPr>
          <w:rStyle w:val="NormalTok"/>
        </w:rPr>
        <w:t>,</w:t>
      </w:r>
      <w:r w:rsidR="00000000">
        <w:br/>
      </w:r>
      <w:r w:rsidR="00000000">
        <w:rPr>
          <w:rStyle w:val="NormalTok"/>
        </w:rPr>
        <w:t xml:space="preserve">  </w:t>
      </w:r>
      <w:r w:rsidR="0089699E">
        <w:rPr>
          <w:rStyle w:val="NormalTok"/>
        </w:rPr>
        <w:t xml:space="preserve"> </w:t>
      </w:r>
      <w:r w:rsidR="00000000">
        <w:rPr>
          <w:rStyle w:val="NormalTok"/>
        </w:rPr>
        <w:t xml:space="preserve"> xtol</w:t>
      </w:r>
      <w:r w:rsidR="00000000">
        <w:rPr>
          <w:rStyle w:val="OperatorTok"/>
        </w:rPr>
        <w:t>=</w:t>
      </w:r>
      <w:r w:rsidR="00000000">
        <w:rPr>
          <w:rStyle w:val="FloatTok"/>
        </w:rPr>
        <w:t>1e-</w:t>
      </w:r>
      <w:r w:rsidR="00E376B2">
        <w:rPr>
          <w:rStyle w:val="FloatTok"/>
        </w:rPr>
        <w:t>6</w:t>
      </w:r>
    </w:p>
    <w:p w14:paraId="6D2FF5E1" w14:textId="30FDC0FF" w:rsidR="003E0EAB" w:rsidRPr="00317C09" w:rsidRDefault="00B325BD" w:rsidP="00B325BD">
      <w:pPr>
        <w:pStyle w:val="SourceCode"/>
        <w:shd w:val="clear" w:color="auto" w:fill="F6C5AC" w:themeFill="accent2" w:themeFillTint="66"/>
        <w:rPr>
          <w:rFonts w:ascii="Consolas" w:hAnsi="Consolas"/>
          <w:sz w:val="22"/>
        </w:rPr>
      </w:pPr>
      <w:r>
        <w:rPr>
          <w:rStyle w:val="NormalTok"/>
        </w:rPr>
        <w:t xml:space="preserve">    max_nfev</w:t>
      </w:r>
      <w:r>
        <w:rPr>
          <w:rStyle w:val="OperatorTok"/>
        </w:rPr>
        <w:t>=</w:t>
      </w:r>
      <w:r w:rsidR="00EC6373">
        <w:rPr>
          <w:rStyle w:val="StringTok"/>
        </w:rPr>
        <w:t>5000</w:t>
      </w:r>
      <w:r w:rsidR="00EC6373">
        <w:rPr>
          <w:rStyle w:val="NormalTok"/>
        </w:rPr>
        <w:t>, #</w:t>
      </w:r>
      <w:r>
        <w:rPr>
          <w:rStyle w:val="NormalTok"/>
        </w:rPr>
        <w:t>Maximum function evaluations.</w:t>
      </w:r>
      <w:r w:rsidR="00000000">
        <w:br/>
      </w:r>
      <w:r w:rsidR="00000000">
        <w:rPr>
          <w:rStyle w:val="NormalTok"/>
        </w:rPr>
        <w:t>)</w:t>
      </w:r>
    </w:p>
    <w:p w14:paraId="63F8AF33" w14:textId="77777777" w:rsidR="003E0EAB" w:rsidRDefault="00000000" w:rsidP="009A2758">
      <w:pPr>
        <w:pStyle w:val="FirstParagraph"/>
        <w:shd w:val="clear" w:color="auto" w:fill="C1E4F5" w:themeFill="accent1" w:themeFillTint="33"/>
      </w:pPr>
      <w:r>
        <w:rPr>
          <w:rStyle w:val="VerbatimChar"/>
        </w:rPr>
        <w:t>rnn_transport_multiguild_uq_v3.m</w:t>
      </w:r>
      <w:r>
        <w:t xml:space="preserve"> (Lines 197-209):</w:t>
      </w:r>
    </w:p>
    <w:p w14:paraId="5666181C" w14:textId="77777777" w:rsidR="003E0EAB" w:rsidRDefault="00000000" w:rsidP="009A2758">
      <w:pPr>
        <w:pStyle w:val="SourceCode"/>
        <w:shd w:val="clear" w:color="auto" w:fill="C1E4F5" w:themeFill="accent1" w:themeFillTint="33"/>
      </w:pPr>
      <w:r>
        <w:rPr>
          <w:rStyle w:val="VariableTok"/>
        </w:rPr>
        <w:t>p0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VariableTok"/>
        </w:rPr>
        <w:t>lb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0.001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50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VariableTok"/>
        </w:rPr>
        <w:t>ub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VariableTok"/>
        </w:rPr>
        <w:t>p_fit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lsqnonlin</w:t>
      </w:r>
      <w:r>
        <w:rPr>
          <w:rStyle w:val="NormalTok"/>
        </w:rPr>
        <w:t>(</w:t>
      </w:r>
      <w:r>
        <w:rPr>
          <w:rStyle w:val="OperatorTok"/>
        </w:rPr>
        <w:t>@</w:t>
      </w:r>
      <w:r>
        <w:rPr>
          <w:rStyle w:val="NormalTok"/>
        </w:rPr>
        <w:t>(</w:t>
      </w:r>
      <w:r>
        <w:rPr>
          <w:rStyle w:val="VariableTok"/>
        </w:rPr>
        <w:t>p</w:t>
      </w:r>
      <w:r>
        <w:rPr>
          <w:rStyle w:val="NormalTok"/>
        </w:rPr>
        <w:t xml:space="preserve">) </w:t>
      </w:r>
      <w:r>
        <w:rPr>
          <w:rStyle w:val="VariableTok"/>
        </w:rPr>
        <w:t>residuals_multiguild</w:t>
      </w:r>
      <w:r>
        <w:rPr>
          <w:rStyle w:val="NormalTok"/>
        </w:rPr>
        <w:t>(</w:t>
      </w:r>
      <w:r>
        <w:rPr>
          <w:rStyle w:val="Variable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t_exp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data_exp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x0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p0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lb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ub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options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5B7C92F" w14:textId="77777777" w:rsidR="003E0EAB" w:rsidRDefault="00000000">
      <w:pPr>
        <w:pStyle w:val="FirstParagraph"/>
      </w:pPr>
      <w:r>
        <w:t>Because the residual and bounds are identical, any differences in fitted parameters stem from solver behavior, not code differences. With only 11 data points constraining a stiff 13-parameter ODE, there are many acceptable local minima. MATLAB’s trust-region heuristics converge near the tutor’s assumptions; SciPy’s reflective trust-region converges to a sulfate/acetogen-emphasizing basin.</w:t>
      </w:r>
    </w:p>
    <w:p w14:paraId="16ADCFD7" w14:textId="77777777" w:rsidR="003E0EAB" w:rsidRDefault="00000000">
      <w:r>
        <w:pict w14:anchorId="14F5621F">
          <v:rect id="_x0000_i1026" style="width:0;height:1.5pt" o:hralign="center" o:hrstd="t" o:hr="t"/>
        </w:pict>
      </w:r>
    </w:p>
    <w:p w14:paraId="250B34B0" w14:textId="0B72DF7C" w:rsidR="003E0EAB" w:rsidRDefault="00000000">
      <w:pPr>
        <w:pStyle w:val="Balk2"/>
      </w:pPr>
      <w:bookmarkStart w:id="4" w:name="X8b0e848f268ca279af5fb179fdb284dde08c4b5"/>
      <w:bookmarkEnd w:id="1"/>
      <w:bookmarkEnd w:id="3"/>
      <w:r>
        <w:t xml:space="preserve">2. Key Parameter Differences </w:t>
      </w:r>
    </w:p>
    <w:p w14:paraId="39F105A6" w14:textId="77777777" w:rsidR="003E0EAB" w:rsidRDefault="00000000">
      <w:pPr>
        <w:pStyle w:val="Balk3"/>
      </w:pPr>
      <w:bookmarkStart w:id="5" w:name="yield-coefficients-y_s-y_a"/>
      <w:r>
        <w:t>2.1 Yield coefficients (</w:t>
      </w:r>
      <w:r>
        <w:rPr>
          <w:rStyle w:val="VerbatimChar"/>
        </w:rPr>
        <w:t>Y_s</w:t>
      </w:r>
      <w:r>
        <w:t xml:space="preserve">, </w:t>
      </w:r>
      <w:r>
        <w:rPr>
          <w:rStyle w:val="VerbatimChar"/>
        </w:rPr>
        <w:t>Y_a</w:t>
      </w:r>
      <w:r>
        <w:t>)</w:t>
      </w:r>
    </w:p>
    <w:p w14:paraId="6E72969B" w14:textId="627ABB8F" w:rsidR="003E0EAB" w:rsidRDefault="00000000">
      <w:pPr>
        <w:pStyle w:val="FirstParagraph"/>
      </w:pPr>
      <w:r>
        <w:t>MATLAB keeps both at 0.0500. PyTorch raises them to 0.336411 and 0.324776, respectively</w:t>
      </w:r>
      <w:r w:rsidR="00204568">
        <w:t xml:space="preserve"> </w:t>
      </w:r>
      <w:r>
        <w:t xml:space="preserve">visible as dark-blue bars towering over light-blue “initial” bars in </w:t>
      </w:r>
      <w:r>
        <w:rPr>
          <w:rStyle w:val="VerbatimChar"/>
        </w:rPr>
        <w:t>pytorch_parameters.png</w:t>
      </w:r>
      <w:r>
        <w:t>, indicating preference for sulfate/acetogen biomass production.</w:t>
      </w:r>
    </w:p>
    <w:p w14:paraId="3D08A854" w14:textId="77777777" w:rsidR="003E0EAB" w:rsidRDefault="00000000">
      <w:pPr>
        <w:pStyle w:val="Balk3"/>
      </w:pPr>
      <w:bookmarkStart w:id="6" w:name="hydrogen-activation-threshold-h2_thresh"/>
      <w:bookmarkEnd w:id="5"/>
      <w:r>
        <w:t>2.2 Hydrogen activation threshold (</w:t>
      </w:r>
      <w:r>
        <w:rPr>
          <w:rStyle w:val="VerbatimChar"/>
        </w:rPr>
        <w:t>H2_thresh</w:t>
      </w:r>
      <w:r>
        <w:t>)</w:t>
      </w:r>
    </w:p>
    <w:p w14:paraId="102E6746" w14:textId="77777777" w:rsidR="003E0EAB" w:rsidRDefault="00000000">
      <w:pPr>
        <w:pStyle w:val="FirstParagraph"/>
      </w:pPr>
      <w:r>
        <w:t xml:space="preserve">MATLAB settles at 0.126183 mmol/L, allowing low-H₂ conditions to remain active. PyTorch pushes it to 0.894347 mmol/L, essentially disabling guild activity unless hydrogen is plentiful. This shift alters the activation factors computed inside </w:t>
      </w:r>
      <w:r>
        <w:rPr>
          <w:rStyle w:val="VerbatimChar"/>
        </w:rPr>
        <w:t>ode_multiguild</w:t>
      </w:r>
      <w:r>
        <w:t>, changing the balance between methanogenesis and sulfate reduction.</w:t>
      </w:r>
    </w:p>
    <w:p w14:paraId="5F3CAA37" w14:textId="77777777" w:rsidR="003E0EAB" w:rsidRDefault="00000000">
      <w:pPr>
        <w:pStyle w:val="Balk3"/>
      </w:pPr>
      <w:bookmarkStart w:id="7" w:name="thermodynamic-gate-dg_thresh"/>
      <w:bookmarkEnd w:id="6"/>
      <w:r>
        <w:t>2.3 Thermodynamic gate (</w:t>
      </w:r>
      <w:r>
        <w:rPr>
          <w:rStyle w:val="VerbatimChar"/>
        </w:rPr>
        <w:t>DG_thresh</w:t>
      </w:r>
      <w:r>
        <w:t>)</w:t>
      </w:r>
    </w:p>
    <w:p w14:paraId="355AEC41" w14:textId="77777777" w:rsidR="003E0EAB" w:rsidRDefault="00000000">
      <w:pPr>
        <w:pStyle w:val="FirstParagraph"/>
      </w:pPr>
      <w:r>
        <w:t xml:space="preserve">MATLAB retains the prior at −10.000002 kJ/mol. PyTorch relaxes it to −0.483971 kJ/mol, letting marginally exergonic reactions proceed. Together with the higher </w:t>
      </w:r>
      <w:r>
        <w:rPr>
          <w:rStyle w:val="VerbatimChar"/>
        </w:rPr>
        <w:t>H2_thresh</w:t>
      </w:r>
      <w:r>
        <w:t>, this yields a regime where only strongly fed cells react, but the Gibbs filter is looser once they do.</w:t>
      </w:r>
    </w:p>
    <w:p w14:paraId="7C263F25" w14:textId="77777777" w:rsidR="003E0EAB" w:rsidRDefault="00000000">
      <w:pPr>
        <w:pStyle w:val="Balk3"/>
      </w:pPr>
      <w:bookmarkStart w:id="8" w:name="precipitation-dynamics-k_precip-h2s_sat"/>
      <w:bookmarkEnd w:id="7"/>
      <w:r>
        <w:lastRenderedPageBreak/>
        <w:t>2.4 Precipitation dynamics (</w:t>
      </w:r>
      <w:r>
        <w:rPr>
          <w:rStyle w:val="VerbatimChar"/>
        </w:rPr>
        <w:t>k_precip</w:t>
      </w:r>
      <w:r>
        <w:t xml:space="preserve">, </w:t>
      </w:r>
      <w:r>
        <w:rPr>
          <w:rStyle w:val="VerbatimChar"/>
        </w:rPr>
        <w:t>H2S_sat</w:t>
      </w:r>
      <w:r>
        <w:t>)</w:t>
      </w:r>
    </w:p>
    <w:p w14:paraId="62515DDC" w14:textId="3B5B8F15" w:rsidR="003E0EAB" w:rsidRDefault="00000000">
      <w:pPr>
        <w:pStyle w:val="FirstParagraph"/>
      </w:pPr>
      <w:r>
        <w:t>MATLAB: 0.749106 day⁻¹ and ≈0 mmol/L. PyTorch: 0.265194 day⁻¹ and 0.004102 mmol/L. Slower precipitation allows more H₂S to accumulate, which</w:t>
      </w:r>
      <w:r w:rsidR="004E1E69">
        <w:t xml:space="preserve"> </w:t>
      </w:r>
      <w:r>
        <w:t xml:space="preserve">combined with the smaller </w:t>
      </w:r>
      <w:r>
        <w:rPr>
          <w:rStyle w:val="VerbatimChar"/>
        </w:rPr>
        <w:t>KI_meth</w:t>
      </w:r>
      <w:r>
        <w:t xml:space="preserve"> (0.029905 vs. 0.00225 in MATLAB)</w:t>
      </w:r>
      <w:r w:rsidR="00A3212C">
        <w:t xml:space="preserve"> </w:t>
      </w:r>
      <w:r>
        <w:t>reinforces inhibition of methanogens.</w:t>
      </w:r>
    </w:p>
    <w:p w14:paraId="668A9EA8" w14:textId="77777777" w:rsidR="003E0EAB" w:rsidRDefault="00000000">
      <w:r>
        <w:pict w14:anchorId="24C20971">
          <v:rect id="_x0000_i1027" style="width:0;height:1.5pt" o:hralign="center" o:hrstd="t" o:hr="t"/>
        </w:pict>
      </w:r>
    </w:p>
    <w:p w14:paraId="6EF575C9" w14:textId="77777777" w:rsidR="003E0EAB" w:rsidRDefault="00000000">
      <w:pPr>
        <w:pStyle w:val="Balk2"/>
      </w:pPr>
      <w:bookmarkStart w:id="9" w:name="plot-guide"/>
      <w:bookmarkEnd w:id="4"/>
      <w:bookmarkEnd w:id="8"/>
      <w:r>
        <w:t>3. Plot Guide</w:t>
      </w:r>
    </w:p>
    <w:p w14:paraId="59B4894B" w14:textId="30CEBEEB" w:rsidR="003E0EAB" w:rsidRDefault="00000000">
      <w:pPr>
        <w:pStyle w:val="Balk3"/>
      </w:pPr>
      <w:bookmarkStart w:id="10" w:name="X2e7ddcb9c3f231d1629c7b5316fc8805c8a5fff"/>
      <w:r>
        <w:t xml:space="preserve">3.1 </w:t>
      </w:r>
      <w:r w:rsidR="00B5149E">
        <w:t>MATLAB parameters</w:t>
      </w:r>
      <w:r>
        <w:t xml:space="preserve"> &amp; </w:t>
      </w:r>
      <w:r w:rsidR="00B5149E">
        <w:t>P</w:t>
      </w:r>
      <w:r>
        <w:t>ytorch</w:t>
      </w:r>
      <w:r w:rsidR="00404723">
        <w:t xml:space="preserve"> </w:t>
      </w:r>
      <w:r>
        <w:t>parameters</w:t>
      </w:r>
    </w:p>
    <w:p w14:paraId="7E03E406" w14:textId="77777777" w:rsidR="003E0EAB" w:rsidRDefault="00000000">
      <w:pPr>
        <w:pStyle w:val="FirstParagraph"/>
      </w:pPr>
      <w:r>
        <w:t xml:space="preserve">Horizontal symlog bar charts compare initial (light blue) and fitted (dark blue) values for every parameter, with units embedded in the axis labels (e.g., </w:t>
      </w:r>
      <w:r>
        <w:rPr>
          <w:rStyle w:val="VerbatimChar"/>
        </w:rPr>
        <w:t>k_sulf [1/day]</w:t>
      </w:r>
      <w:r>
        <w:t xml:space="preserve">, </w:t>
      </w:r>
      <w:r>
        <w:rPr>
          <w:rStyle w:val="VerbatimChar"/>
        </w:rPr>
        <w:t>KI_aceto [mmol/L]</w:t>
      </w:r>
      <w:r>
        <w:t xml:space="preserve">, </w:t>
      </w:r>
      <w:r>
        <w:rPr>
          <w:rStyle w:val="VerbatimChar"/>
        </w:rPr>
        <w:t>DG_thresh [kJ/mol]</w:t>
      </w:r>
      <w:r>
        <w:t>). Five-decimal scientific annotations sit in white callouts.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5315"/>
      </w:tblGrid>
      <w:tr w:rsidR="003E0EAB" w:rsidRPr="00D57CD0" w14:paraId="6BEA708E" w14:textId="77777777">
        <w:trPr>
          <w:jc w:val="center"/>
        </w:trPr>
        <w:tc>
          <w:tcPr>
            <w:tcW w:w="0" w:type="auto"/>
          </w:tcPr>
          <w:p w14:paraId="764FBBF4" w14:textId="77777777" w:rsidR="003E0EAB" w:rsidRPr="00D57CD0" w:rsidRDefault="00000000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D57CD0">
              <w:rPr>
                <w:b/>
                <w:bCs/>
                <w:i/>
                <w:iCs/>
              </w:rPr>
              <w:t>MATLAB parameter initialization vs fitted result</w:t>
            </w:r>
          </w:p>
        </w:tc>
      </w:tr>
    </w:tbl>
    <w:p w14:paraId="1BECED9A" w14:textId="1D8D2010" w:rsidR="003E0EAB" w:rsidRPr="00D57CD0" w:rsidRDefault="003E0EAB">
      <w:pPr>
        <w:pStyle w:val="ImageCaption"/>
        <w:rPr>
          <w:b/>
          <w:bCs/>
          <w:iCs/>
        </w:rPr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10296"/>
      </w:tblGrid>
      <w:tr w:rsidR="003E0EAB" w14:paraId="7223DB37" w14:textId="77777777">
        <w:trPr>
          <w:jc w:val="center"/>
        </w:trPr>
        <w:tc>
          <w:tcPr>
            <w:tcW w:w="0" w:type="auto"/>
          </w:tcPr>
          <w:p w14:paraId="2F2B1C19" w14:textId="06AAEBB5" w:rsidR="00D55D9B" w:rsidRDefault="00D57CD0" w:rsidP="00D57CD0">
            <w:pPr>
              <w:pStyle w:val="Compact"/>
            </w:pPr>
            <w:r>
              <w:rPr>
                <w:i/>
                <w:noProof/>
              </w:rPr>
              <w:drawing>
                <wp:anchor distT="0" distB="0" distL="114300" distR="114300" simplePos="0" relativeHeight="251658752" behindDoc="0" locked="0" layoutInCell="1" allowOverlap="1" wp14:anchorId="710BE0EC" wp14:editId="662136B9">
                  <wp:simplePos x="0" y="0"/>
                  <wp:positionH relativeFrom="column">
                    <wp:posOffset>-125730</wp:posOffset>
                  </wp:positionH>
                  <wp:positionV relativeFrom="paragraph">
                    <wp:posOffset>-102870</wp:posOffset>
                  </wp:positionV>
                  <wp:extent cx="6362700" cy="3961765"/>
                  <wp:effectExtent l="0" t="0" r="0" b="0"/>
                  <wp:wrapThrough wrapText="bothSides">
                    <wp:wrapPolygon edited="0">
                      <wp:start x="0" y="0"/>
                      <wp:lineTo x="0" y="21500"/>
                      <wp:lineTo x="21535" y="21500"/>
                      <wp:lineTo x="21535" y="0"/>
                      <wp:lineTo x="0" y="0"/>
                    </wp:wrapPolygon>
                  </wp:wrapThrough>
                  <wp:docPr id="1961101253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700" cy="396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E4BC8E" w14:textId="4C9DC88A" w:rsidR="00D55D9B" w:rsidRDefault="00D55D9B" w:rsidP="00D55D9B">
            <w:pPr>
              <w:pStyle w:val="Compact"/>
              <w:jc w:val="center"/>
            </w:pPr>
          </w:p>
          <w:p w14:paraId="78BF0EF4" w14:textId="049FEF45" w:rsidR="00D55D9B" w:rsidRDefault="00D55D9B" w:rsidP="00D55D9B">
            <w:pPr>
              <w:pStyle w:val="Compact"/>
              <w:jc w:val="center"/>
            </w:pPr>
          </w:p>
          <w:p w14:paraId="23906D88" w14:textId="5C5DF867" w:rsidR="00D55D9B" w:rsidRDefault="00D55D9B" w:rsidP="00D55D9B">
            <w:pPr>
              <w:pStyle w:val="Compact"/>
              <w:jc w:val="center"/>
            </w:pPr>
          </w:p>
          <w:p w14:paraId="4378F5B1" w14:textId="083CF5F4" w:rsidR="00D55D9B" w:rsidRDefault="00D55D9B" w:rsidP="00D55D9B">
            <w:pPr>
              <w:pStyle w:val="Compact"/>
              <w:jc w:val="center"/>
            </w:pPr>
          </w:p>
          <w:p w14:paraId="5FEFD0FA" w14:textId="77777777" w:rsidR="00D55D9B" w:rsidRDefault="00D55D9B" w:rsidP="00D55D9B">
            <w:pPr>
              <w:pStyle w:val="Compact"/>
              <w:jc w:val="center"/>
            </w:pPr>
          </w:p>
          <w:p w14:paraId="05AE737B" w14:textId="77777777" w:rsidR="00D55D9B" w:rsidRDefault="00D55D9B" w:rsidP="00D55D9B">
            <w:pPr>
              <w:pStyle w:val="Compact"/>
              <w:jc w:val="center"/>
            </w:pPr>
          </w:p>
          <w:p w14:paraId="636E69BD" w14:textId="77777777" w:rsidR="00D55D9B" w:rsidRDefault="00D55D9B" w:rsidP="00D55D9B">
            <w:pPr>
              <w:pStyle w:val="Compact"/>
            </w:pPr>
          </w:p>
          <w:p w14:paraId="0705514C" w14:textId="77777777" w:rsidR="00D55D9B" w:rsidRDefault="00D55D9B" w:rsidP="00D55D9B">
            <w:pPr>
              <w:pStyle w:val="Compact"/>
              <w:jc w:val="center"/>
            </w:pPr>
          </w:p>
          <w:p w14:paraId="6B63E3B7" w14:textId="2832A4D2" w:rsidR="003E0EAB" w:rsidRPr="00A963E1" w:rsidRDefault="00D55D9B" w:rsidP="00D55D9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A963E1">
              <w:rPr>
                <w:b/>
                <w:bCs/>
                <w:i/>
                <w:iCs/>
                <w:noProof/>
              </w:rPr>
              <w:drawing>
                <wp:anchor distT="0" distB="0" distL="114300" distR="114300" simplePos="0" relativeHeight="251666944" behindDoc="0" locked="0" layoutInCell="1" allowOverlap="1" wp14:anchorId="698B348F" wp14:editId="768168BC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361950</wp:posOffset>
                  </wp:positionV>
                  <wp:extent cx="6557010" cy="4876800"/>
                  <wp:effectExtent l="0" t="0" r="0" b="0"/>
                  <wp:wrapThrough wrapText="bothSides">
                    <wp:wrapPolygon edited="0">
                      <wp:start x="0" y="0"/>
                      <wp:lineTo x="0" y="21516"/>
                      <wp:lineTo x="21525" y="21516"/>
                      <wp:lineTo x="21525" y="0"/>
                      <wp:lineTo x="0" y="0"/>
                    </wp:wrapPolygon>
                  </wp:wrapThrough>
                  <wp:docPr id="1305919993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701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A963E1">
              <w:rPr>
                <w:b/>
                <w:bCs/>
                <w:i/>
                <w:iCs/>
              </w:rPr>
              <w:t>PyTorch parameter initialization vs fitted result</w:t>
            </w:r>
          </w:p>
        </w:tc>
      </w:tr>
    </w:tbl>
    <w:p w14:paraId="151992FD" w14:textId="77777777" w:rsidR="00AE21E7" w:rsidRDefault="00AE21E7">
      <w:pPr>
        <w:pStyle w:val="Balk3"/>
      </w:pPr>
      <w:bookmarkStart w:id="11" w:name="parameter_comparison.png"/>
      <w:bookmarkEnd w:id="10"/>
    </w:p>
    <w:p w14:paraId="680984E2" w14:textId="77777777" w:rsidR="00AE21E7" w:rsidRDefault="00AE21E7" w:rsidP="00AE21E7">
      <w:pPr>
        <w:pStyle w:val="GvdeMetni"/>
      </w:pPr>
    </w:p>
    <w:p w14:paraId="20E338D0" w14:textId="77777777" w:rsidR="00AE21E7" w:rsidRDefault="00AE21E7" w:rsidP="00AE21E7">
      <w:pPr>
        <w:pStyle w:val="GvdeMetni"/>
      </w:pPr>
    </w:p>
    <w:p w14:paraId="5B6C430C" w14:textId="77777777" w:rsidR="00AE21E7" w:rsidRDefault="00AE21E7" w:rsidP="00AE21E7">
      <w:pPr>
        <w:pStyle w:val="GvdeMetni"/>
      </w:pPr>
    </w:p>
    <w:p w14:paraId="52A70F7A" w14:textId="77777777" w:rsidR="00AE21E7" w:rsidRDefault="00AE21E7" w:rsidP="00AE21E7">
      <w:pPr>
        <w:pStyle w:val="GvdeMetni"/>
      </w:pPr>
    </w:p>
    <w:p w14:paraId="02AEA06C" w14:textId="77777777" w:rsidR="00AE21E7" w:rsidRDefault="00AE21E7" w:rsidP="00AE21E7">
      <w:pPr>
        <w:pStyle w:val="GvdeMetni"/>
      </w:pPr>
    </w:p>
    <w:p w14:paraId="109C8673" w14:textId="1FD04CA8" w:rsidR="003E0EAB" w:rsidRDefault="00000000">
      <w:pPr>
        <w:pStyle w:val="Balk3"/>
      </w:pPr>
      <w:r>
        <w:lastRenderedPageBreak/>
        <w:t>3.2 parameter_comparison</w:t>
      </w:r>
    </w:p>
    <w:p w14:paraId="5FDEB2C2" w14:textId="4CE285FD" w:rsidR="003E0EAB" w:rsidRDefault="00000000">
      <w:pPr>
        <w:pStyle w:val="FirstParagraph"/>
      </w:pPr>
      <w:r>
        <w:t xml:space="preserve">MATLAB (blue) and PyTorch (orange) fitted values appear side-by-side on a single symlog axis, making large divergences (e.g., </w:t>
      </w:r>
      <w:r>
        <w:rPr>
          <w:rStyle w:val="VerbatimChar"/>
        </w:rPr>
        <w:t>H2_thresh</w:t>
      </w:r>
      <w:r>
        <w:t xml:space="preserve">, </w:t>
      </w:r>
      <w:r>
        <w:rPr>
          <w:rStyle w:val="VerbatimChar"/>
        </w:rPr>
        <w:t>DG_thresh</w:t>
      </w:r>
      <w:r>
        <w:t xml:space="preserve">) instantly visible. </w:t>
      </w:r>
    </w:p>
    <w:p w14:paraId="7B82000F" w14:textId="0F6C009C" w:rsidR="003E0EAB" w:rsidRDefault="00000000" w:rsidP="00AE21E7">
      <w:pPr>
        <w:pStyle w:val="ImageCaption"/>
        <w:jc w:val="center"/>
      </w:pPr>
      <w:r w:rsidRPr="00AE21E7">
        <w:rPr>
          <w:b/>
          <w:bCs/>
        </w:rPr>
        <w:t>Parameter fits: MATLAB vs PyTorch</w:t>
      </w:r>
      <w:r w:rsidR="00AE21E7">
        <w:rPr>
          <w:noProof/>
        </w:rPr>
        <w:drawing>
          <wp:inline distT="0" distB="0" distL="0" distR="0" wp14:anchorId="26E4D4CF" wp14:editId="3F27D775">
            <wp:extent cx="6391275" cy="4943475"/>
            <wp:effectExtent l="0" t="0" r="0" b="0"/>
            <wp:docPr id="4595585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80F0" w14:textId="77777777" w:rsidR="00AE21E7" w:rsidRDefault="00AE21E7">
      <w:pPr>
        <w:pStyle w:val="Balk3"/>
      </w:pPr>
      <w:bookmarkStart w:id="12" w:name="parameter_differences.png"/>
      <w:bookmarkEnd w:id="11"/>
    </w:p>
    <w:p w14:paraId="6E6A9F6C" w14:textId="77777777" w:rsidR="000A4A98" w:rsidRDefault="000A4A98" w:rsidP="000A4A98">
      <w:pPr>
        <w:pStyle w:val="GvdeMetni"/>
      </w:pPr>
    </w:p>
    <w:p w14:paraId="213233D9" w14:textId="77777777" w:rsidR="0043125E" w:rsidRDefault="0043125E" w:rsidP="000A4A98">
      <w:pPr>
        <w:pStyle w:val="GvdeMetni"/>
      </w:pPr>
    </w:p>
    <w:p w14:paraId="62A134EC" w14:textId="77777777" w:rsidR="0043125E" w:rsidRDefault="0043125E" w:rsidP="000A4A98">
      <w:pPr>
        <w:pStyle w:val="GvdeMetni"/>
      </w:pPr>
    </w:p>
    <w:p w14:paraId="682A9581" w14:textId="77777777" w:rsidR="0043125E" w:rsidRPr="000A4A98" w:rsidRDefault="0043125E" w:rsidP="000A4A98">
      <w:pPr>
        <w:pStyle w:val="GvdeMetni"/>
      </w:pPr>
    </w:p>
    <w:p w14:paraId="02D2C9F1" w14:textId="77777777" w:rsidR="00AE21E7" w:rsidRDefault="00AE21E7">
      <w:pPr>
        <w:pStyle w:val="Balk3"/>
      </w:pPr>
    </w:p>
    <w:p w14:paraId="45494AAA" w14:textId="1E4C207A" w:rsidR="003E0EAB" w:rsidRDefault="00000000">
      <w:pPr>
        <w:pStyle w:val="Balk3"/>
      </w:pPr>
      <w:r>
        <w:t>3.3 parameter_differences</w:t>
      </w:r>
    </w:p>
    <w:p w14:paraId="27C2487B" w14:textId="77777777" w:rsidR="003E0EAB" w:rsidRDefault="00000000">
      <w:pPr>
        <w:pStyle w:val="FirstParagraph"/>
      </w:pPr>
      <w:r>
        <w:t xml:space="preserve">Shows PyTorch – MATLAB on a symlog x-axis. Rightward bars mark parameters that increased (e.g., </w:t>
      </w:r>
      <w:r>
        <w:rPr>
          <w:rStyle w:val="VerbatimChar"/>
        </w:rPr>
        <w:t>Y_a</w:t>
      </w:r>
      <w:r>
        <w:t xml:space="preserve">, </w:t>
      </w:r>
      <w:r>
        <w:rPr>
          <w:rStyle w:val="VerbatimChar"/>
        </w:rPr>
        <w:t>H2_thresh</w:t>
      </w:r>
      <w:r>
        <w:t xml:space="preserve">); leftward bars mark decreases (e.g., </w:t>
      </w:r>
      <w:r>
        <w:rPr>
          <w:rStyle w:val="VerbatimChar"/>
        </w:rPr>
        <w:t>k_meth</w:t>
      </w:r>
      <w:r>
        <w:t xml:space="preserve">, </w:t>
      </w:r>
      <w:r>
        <w:rPr>
          <w:rStyle w:val="VerbatimChar"/>
        </w:rPr>
        <w:t>k_precip</w:t>
      </w:r>
      <w:r>
        <w:t>). Numeric labels quantify each delta for quick reference.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861"/>
      </w:tblGrid>
      <w:tr w:rsidR="003E0EAB" w14:paraId="7659D372" w14:textId="77777777">
        <w:trPr>
          <w:jc w:val="center"/>
        </w:trPr>
        <w:tc>
          <w:tcPr>
            <w:tcW w:w="0" w:type="auto"/>
          </w:tcPr>
          <w:p w14:paraId="63635FA9" w14:textId="77777777" w:rsidR="003E0EAB" w:rsidRPr="00AE21E7" w:rsidRDefault="00000000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AE21E7">
              <w:rPr>
                <w:b/>
                <w:bCs/>
                <w:i/>
                <w:iCs/>
              </w:rPr>
              <w:t>Parameter differences (PyTorch − MATLAB)</w:t>
            </w:r>
          </w:p>
        </w:tc>
      </w:tr>
    </w:tbl>
    <w:p w14:paraId="6F11C2AF" w14:textId="555EDADA" w:rsidR="003E0EAB" w:rsidRDefault="00AE21E7">
      <w:pPr>
        <w:pStyle w:val="ImageCaption"/>
      </w:pPr>
      <w:r>
        <w:rPr>
          <w:noProof/>
        </w:rPr>
        <w:drawing>
          <wp:inline distT="0" distB="0" distL="0" distR="0" wp14:anchorId="231D639E" wp14:editId="2F71E340">
            <wp:extent cx="6391275" cy="3143250"/>
            <wp:effectExtent l="0" t="0" r="0" b="0"/>
            <wp:docPr id="84770521" name="Resim 4" descr="metin, ekran görüntüsü, sayı, numar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0521" name="Resim 4" descr="metin, ekran görüntüsü, sayı, numara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A099" w14:textId="77777777" w:rsidR="003E0EAB" w:rsidRDefault="00000000">
      <w:r>
        <w:pict w14:anchorId="42F10725">
          <v:rect id="_x0000_i1028" style="width:0;height:1.5pt" o:hralign="center" o:hrstd="t" o:hr="t"/>
        </w:pict>
      </w:r>
    </w:p>
    <w:p w14:paraId="572BCC25" w14:textId="77777777" w:rsidR="003E0EAB" w:rsidRDefault="00000000">
      <w:pPr>
        <w:pStyle w:val="Balk2"/>
      </w:pPr>
      <w:bookmarkStart w:id="13" w:name="conclusion"/>
      <w:bookmarkEnd w:id="9"/>
      <w:bookmarkEnd w:id="12"/>
      <w:r>
        <w:t>4. Conclusion</w:t>
      </w:r>
    </w:p>
    <w:p w14:paraId="46439AFB" w14:textId="77777777" w:rsidR="003E0EAB" w:rsidRDefault="00000000">
      <w:pPr>
        <w:pStyle w:val="Compact"/>
        <w:numPr>
          <w:ilvl w:val="0"/>
          <w:numId w:val="2"/>
        </w:numPr>
      </w:pPr>
      <w:r>
        <w:t>Same physics, different solver destinations: identical residual logic plus the shared ODE mean the PyTorch port faithfully reproduces MATLAB’s workflow. Distinct trust-region heuristics and limited data simply lead to different acceptable minima.</w:t>
      </w:r>
    </w:p>
    <w:bookmarkEnd w:id="0"/>
    <w:bookmarkEnd w:id="13"/>
    <w:p w14:paraId="745716E6" w14:textId="364A33FA" w:rsidR="003E0EAB" w:rsidRDefault="003E0EAB" w:rsidP="00836638">
      <w:pPr>
        <w:pStyle w:val="Compact"/>
        <w:ind w:left="720"/>
      </w:pPr>
    </w:p>
    <w:sectPr w:rsidR="003E0EAB" w:rsidSect="00D55D9B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368C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08F4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31170151">
    <w:abstractNumId w:val="0"/>
  </w:num>
  <w:num w:numId="2" w16cid:durableId="1936786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EAB"/>
    <w:rsid w:val="0002292B"/>
    <w:rsid w:val="00026C25"/>
    <w:rsid w:val="00046B9E"/>
    <w:rsid w:val="000A4A98"/>
    <w:rsid w:val="0019659F"/>
    <w:rsid w:val="00204568"/>
    <w:rsid w:val="00316711"/>
    <w:rsid w:val="00317C09"/>
    <w:rsid w:val="00395674"/>
    <w:rsid w:val="003A6336"/>
    <w:rsid w:val="003B64FE"/>
    <w:rsid w:val="003E0EAB"/>
    <w:rsid w:val="003F6C6D"/>
    <w:rsid w:val="00404723"/>
    <w:rsid w:val="0043125E"/>
    <w:rsid w:val="004E1E69"/>
    <w:rsid w:val="0056475E"/>
    <w:rsid w:val="005E4607"/>
    <w:rsid w:val="00694C2F"/>
    <w:rsid w:val="006C4A7E"/>
    <w:rsid w:val="00744BA9"/>
    <w:rsid w:val="007B65A2"/>
    <w:rsid w:val="00836638"/>
    <w:rsid w:val="0089699E"/>
    <w:rsid w:val="008A65CA"/>
    <w:rsid w:val="008D0C20"/>
    <w:rsid w:val="00930454"/>
    <w:rsid w:val="009A2758"/>
    <w:rsid w:val="009E5EA7"/>
    <w:rsid w:val="00A266AD"/>
    <w:rsid w:val="00A3212C"/>
    <w:rsid w:val="00A963E1"/>
    <w:rsid w:val="00AB178B"/>
    <w:rsid w:val="00AE21E7"/>
    <w:rsid w:val="00AE2369"/>
    <w:rsid w:val="00B325BD"/>
    <w:rsid w:val="00B3387D"/>
    <w:rsid w:val="00B5149E"/>
    <w:rsid w:val="00B56830"/>
    <w:rsid w:val="00B64292"/>
    <w:rsid w:val="00C00D58"/>
    <w:rsid w:val="00C452A8"/>
    <w:rsid w:val="00CB6ECF"/>
    <w:rsid w:val="00D55D9B"/>
    <w:rsid w:val="00D57CD0"/>
    <w:rsid w:val="00D74CF7"/>
    <w:rsid w:val="00E376B2"/>
    <w:rsid w:val="00E53ECC"/>
    <w:rsid w:val="00EC6373"/>
    <w:rsid w:val="00F365A6"/>
    <w:rsid w:val="00FE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BAAA0"/>
  <w15:docId w15:val="{8E6142D2-A78B-46B7-A0F8-7CE5A969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3917E-4B52-4CDC-A774-83B213B9D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666</Words>
  <Characters>4283</Characters>
  <Application>Microsoft Office Word</Application>
  <DocSecurity>0</DocSecurity>
  <Lines>97</Lines>
  <Paragraphs>46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hasan arı</cp:lastModifiedBy>
  <cp:revision>82</cp:revision>
  <dcterms:created xsi:type="dcterms:W3CDTF">2025-11-16T02:24:00Z</dcterms:created>
  <dcterms:modified xsi:type="dcterms:W3CDTF">2025-11-16T02:46:00Z</dcterms:modified>
</cp:coreProperties>
</file>