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 w:before="1250"/>
        <w:jc w:val="center"/>
      </w:pPr>
      <w:r>
        <w:rPr>
          <w:rFonts w:ascii="Georgia" w:cs="Georgia" w:eastAsia="Georgia" w:hAnsi="Georgia"/>
          <w:color w:val="7C4A30"/>
          <w:sz w:val="54"/>
          <w:szCs w:val="54"/>
        </w:rPr>
        <w:t xml:space="preserve">✦</w:t>
      </w:r>
    </w:p>
    <w:p>
      <w:pPr>
        <w:spacing w:after="70"/>
        <w:jc w:val="center"/>
      </w:pPr>
      <w:r>
        <w:rPr>
          <w:rFonts w:ascii="Georgia" w:cs="Georgia" w:eastAsia="Georgia" w:hAnsi="Georgia"/>
          <w:b/>
          <w:bCs/>
          <w:color w:val="1A1A17"/>
          <w:sz w:val="68"/>
          <w:szCs w:val="68"/>
        </w:rPr>
        <w:t xml:space="preserve">Velae Lite</w:t>
      </w:r>
    </w:p>
    <w:p>
      <w:pPr>
        <w:spacing w:after="36"/>
        <w:jc w:val="center"/>
      </w:pPr>
      <w:r>
        <w:rPr>
          <w:rFonts w:ascii="Georgia" w:cs="Georgia" w:eastAsia="Georgia" w:hAnsi="Georgia"/>
          <w:color w:val="7C4A30"/>
          <w:sz w:val="30"/>
          <w:szCs w:val="30"/>
        </w:rPr>
        <w:t xml:space="preserve">Consolidated Development Plan</w:t>
      </w:r>
    </w:p>
    <w:p>
      <w:pPr>
        <w:spacing w:after="340"/>
        <w:jc w:val="center"/>
      </w:pPr>
      <w:r>
        <w:rPr>
          <w:rFonts w:ascii="Calibri" w:cs="Calibri" w:eastAsia="Calibri" w:hAnsi="Calibri"/>
          <w:i/>
          <w:iCs/>
          <w:color w:val="6B6459"/>
          <w:sz w:val="21"/>
          <w:szCs w:val="21"/>
        </w:rPr>
        <w:t xml:space="preserve">Implementation guide for Claude Code</w:t>
      </w:r>
    </w:p>
    <w:p>
      <w:pPr>
        <w:spacing w:after="28"/>
        <w:jc w:val="center"/>
      </w:pPr>
      <w:r>
        <w:rPr>
          <w:rFonts w:ascii="Calibri" w:cs="Calibri" w:eastAsia="Calibri" w:hAnsi="Calibri"/>
          <w:color w:val="6B6459"/>
          <w:sz w:val="19"/>
          <w:szCs w:val="19"/>
        </w:rPr>
        <w:t xml:space="preserve">Baseline v1.2  →  rename to Velae Lite at v1.3  →  Phases 1–6</w:t>
      </w:r>
    </w:p>
    <w:p>
      <w:pPr>
        <w:spacing w:after="28"/>
        <w:jc w:val="center"/>
      </w:pPr>
      <w:r>
        <w:rPr>
          <w:rFonts w:ascii="Calibri" w:cs="Calibri" w:eastAsia="Calibri" w:hAnsi="Calibri"/>
          <w:color w:val="6B6459"/>
          <w:sz w:val="19"/>
          <w:szCs w:val="19"/>
        </w:rPr>
        <w:t xml:space="preserve">Portable · file:// · no build · no server · Windows &amp; Mac</w:t>
      </w:r>
    </w:p>
    <w:p>
      <w:pPr>
        <w:spacing w:after="1050"/>
        <w:jc w:val="center"/>
      </w:pPr>
      <w:r>
        <w:rPr>
          <w:rFonts w:ascii="Calibri" w:cs="Calibri" w:eastAsia="Calibri" w:hAnsi="Calibri"/>
          <w:i/>
          <w:iCs/>
          <w:color w:val="7C4A30"/>
          <w:sz w:val="19"/>
          <w:szCs w:val="19"/>
        </w:rPr>
        <w:t xml:space="preserve">One contract: a small data.json at the connected-folder root</w:t>
      </w:r>
    </w:p>
    <w:p>
      <w:r>
        <w:br w:type="page"/>
      </w:r>
    </w:p>
    <w:p>
      <w:pPr>
        <w:pStyle w:val="Heading1"/>
        <w:pBdr>
          <w:bottom w:val="single" w:color="7C4A30" w:sz="8" w:space="6"/>
        </w:pBdr>
        <w:spacing w:after="150" w:before="300"/>
      </w:pPr>
      <w:r>
        <w:rPr>
          <w:rFonts w:ascii="Georgia" w:cs="Georgia" w:eastAsia="Georgia" w:hAnsi="Georgia"/>
          <w:b/>
          <w:bCs/>
          <w:color w:val="7C4A30"/>
          <w:sz w:val="29"/>
          <w:szCs w:val="29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7C4A30" w:sz="8" w:space="6"/>
        </w:pBdr>
        <w:spacing w:after="150" w:before="300"/>
      </w:pPr>
      <w:r>
        <w:rPr>
          <w:rFonts w:ascii="Georgia" w:cs="Georgia" w:eastAsia="Georgia" w:hAnsi="Georgia"/>
          <w:b/>
          <w:bCs/>
          <w:color w:val="7C4A30"/>
          <w:sz w:val="29"/>
          <w:szCs w:val="29"/>
        </w:rPr>
        <w:t xml:space="preserve">0.  For the implementing agent — read first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This plan is for executing against the existing Velae codebase (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app.js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styles.css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index.html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). It assumes the architecture described in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architecture.md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. The work is the </w:t>
      </w:r>
      <w:r>
        <w:rPr>
          <w:rFonts w:ascii="Calibri" w:cs="Calibri" w:eastAsia="Calibri" w:hAnsi="Calibri"/>
          <w:b/>
          <w:bCs/>
          <w:i w:val="false"/>
          <w:iCs w:val="false"/>
          <w:color w:val="1A1A17"/>
          <w:sz w:val="21"/>
          <w:szCs w:val="21"/>
        </w:rPr>
        <w:t xml:space="preserve">Velae Lite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roadmap only; a separate Pro (localhost) and Web (static-hosted) effort exists in strategy notes but is out of scope here.</w:t>
      </w:r>
    </w:p>
    <w:p>
      <w:pPr>
        <w:pStyle w:val="Heading3"/>
        <w:spacing w:after="70" w:before="150"/>
      </w:pPr>
      <w:r>
        <w:rPr>
          <w:rFonts w:ascii="Georgia" w:cs="Georgia" w:eastAsia="Georgia" w:hAnsi="Georgia"/>
          <w:b/>
          <w:bCs/>
          <w:color w:val="A9745A"/>
          <w:sz w:val="20"/>
          <w:szCs w:val="20"/>
        </w:rPr>
        <w:t xml:space="preserve">Hard invariants — never violate (from architecture.md §10)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No build step, no server, no runtime npm. Must keep working by double-clicking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index.html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from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file://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. Vendored libs only.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Never rename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data.json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config.json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, or the IndexedDB name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"jobtracker"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(load-bearing; orphans saved folder handles if changed).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Keep API keys out of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data.json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— they live in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config.json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After any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innerHTML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render, rebind listeners in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bindViewEvents()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— the app is string-render + rebind, not reactive.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Statuses come from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meta.statuses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, each with a type in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meta.statusMeta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active|responded|terminal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Deleting a company </w:t>
      </w:r>
      <w:r>
        <w:rPr>
          <w:rFonts w:ascii="Calibri" w:cs="Calibri" w:eastAsia="Calibri" w:hAnsi="Calibri"/>
          <w:b/>
          <w:bCs/>
          <w:i w:val="false"/>
          <w:iCs w:val="false"/>
          <w:color w:val="1A1A17"/>
          <w:sz w:val="21"/>
          <w:szCs w:val="21"/>
        </w:rPr>
        <w:t xml:space="preserve">unlinks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its applications (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companyId=""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), never deletes them.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Bulky per-application content stays as files in the application folder, NOT inside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data.json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(invariant #7).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data.json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holds the index + folder path only.</w:t>
      </w:r>
    </w:p>
    <w:p>
      <w:pPr>
        <w:pStyle w:val="Heading3"/>
        <w:spacing w:after="70" w:before="150"/>
      </w:pPr>
      <w:r>
        <w:rPr>
          <w:rFonts w:ascii="Georgia" w:cs="Georgia" w:eastAsia="Georgia" w:hAnsi="Georgia"/>
          <w:b/>
          <w:bCs/>
          <w:color w:val="A9745A"/>
          <w:sz w:val="20"/>
          <w:szCs w:val="20"/>
        </w:rPr>
        <w:t xml:space="preserve">Versioning discipline (architecture.md §0)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Each shipped item bumps MINOR by 0.1 with a changelog row. Keep the version string in sync between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Doc/architecture.md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README.md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Bump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schemaVersion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only when the data shape changes, shipping a migration in the same release. Schema changes occur in </w:t>
      </w:r>
      <w:r>
        <w:rPr>
          <w:rFonts w:ascii="Calibri" w:cs="Calibri" w:eastAsia="Calibri" w:hAnsi="Calibri"/>
          <w:b/>
          <w:bCs/>
          <w:i w:val="false"/>
          <w:iCs w:val="false"/>
          <w:color w:val="1A1A17"/>
          <w:sz w:val="21"/>
          <w:szCs w:val="21"/>
        </w:rPr>
        <w:t xml:space="preserve">Phase 1, Phase 2, and Phase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only.</w:t>
      </w:r>
    </w:p>
    <w:p>
      <w:r>
        <w:br w:type="page"/>
      </w:r>
    </w:p>
    <w:p>
      <w:pPr>
        <w:pStyle w:val="Heading1"/>
        <w:pBdr>
          <w:bottom w:val="single" w:color="7C4A30" w:sz="8" w:space="6"/>
        </w:pBdr>
        <w:spacing w:after="150" w:before="300"/>
      </w:pPr>
      <w:r>
        <w:rPr>
          <w:rFonts w:ascii="Georgia" w:cs="Georgia" w:eastAsia="Georgia" w:hAnsi="Georgia"/>
          <w:b/>
          <w:bCs/>
          <w:color w:val="7C4A30"/>
          <w:sz w:val="29"/>
          <w:szCs w:val="29"/>
        </w:rPr>
        <w:t xml:space="preserve">1.  Pre-work: rename + folder layout (v1.3)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Do this first, as its own release, before any feature work. It is mechanical and low-risk but touches paths, so isolating it keeps later diffs clean.</w:t>
      </w:r>
    </w:p>
    <w:p>
      <w:pPr>
        <w:pStyle w:val="Heading2"/>
        <w:spacing w:after="110" w:before="230"/>
      </w:pPr>
      <w:r>
        <w:rPr>
          <w:rFonts w:ascii="Georgia" w:cs="Georgia" w:eastAsia="Georgia" w:hAnsi="Georgia"/>
          <w:b/>
          <w:bCs/>
          <w:color w:val="1A1A17"/>
          <w:sz w:val="23"/>
          <w:szCs w:val="23"/>
        </w:rPr>
        <w:t xml:space="preserve">1.1  Rename Velae → Velae Lite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Update user-facing product name to "Velae Lite" in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index.html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(title/brand),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README.md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, and docs.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Do NOT touch internal identifiers: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data.json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config.json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, IndexedDB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"jobtracker"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window.Velae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window.JobTracker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aliases all stay frozen.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Changelog row (its own line): "v1.3 — Renamed to Velae Lite; folder reorganization (Core/, Doc/)."</w:t>
      </w:r>
    </w:p>
    <w:p>
      <w:pPr>
        <w:pStyle w:val="Heading2"/>
        <w:spacing w:after="110" w:before="230"/>
      </w:pPr>
      <w:r>
        <w:rPr>
          <w:rFonts w:ascii="Georgia" w:cs="Georgia" w:eastAsia="Georgia" w:hAnsi="Georgia"/>
          <w:b/>
          <w:bCs/>
          <w:color w:val="1A1A17"/>
          <w:sz w:val="23"/>
          <w:szCs w:val="23"/>
        </w:rPr>
        <w:t xml:space="preserve">1.2  Folder layout — reorganize APP files, never DATA files</w:t>
      </w:r>
    </w:p>
    <w:p>
      <w:pPr>
        <w:pBdr>
          <w:left w:val="single" w:color="7C4A30" w:sz="18" w:space="12"/>
        </w:pBdr>
        <w:shd w:fill="EFEAE0" w:val="clear"/>
        <w:spacing w:after="140" w:line="274"/>
      </w:pPr>
      <w:r>
        <w:rPr>
          <w:rFonts w:ascii="Calibri" w:cs="Calibri" w:eastAsia="Calibri" w:hAnsi="Calibri"/>
          <w:b/>
          <w:bCs/>
          <w:color w:val="7C4A30"/>
          <w:sz w:val="19"/>
          <w:szCs w:val="19"/>
        </w:rPr>
        <w:t xml:space="preserve">Principle:  </w:t>
      </w:r>
      <w:r>
        <w:rPr>
          <w:rFonts w:ascii="Calibri" w:cs="Calibri" w:eastAsia="Calibri" w:hAnsi="Calibri"/>
          <w:i/>
          <w:iCs/>
          <w:color w:val="1A1A17"/>
          <w:sz w:val="19"/>
          <w:szCs w:val="19"/>
        </w:rPr>
        <w:t xml:space="preserve">Reorganize the app; never reorganize the data. Code/assets may nest into subfolders; data files must stay at the connected-folder root or the cross-tier contract and every existing user's connected folder break.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Target layout:</w:t>
      </w:r>
    </w:p>
    <w:p>
      <w:pPr>
        <w:pBdr>
          <w:left w:val="single" w:color="D8D2C4" w:sz="12" w:space="10"/>
        </w:pBdr>
        <w:shd w:fill="F2EFE7" w:val="clear"/>
        <w:spacing w:after="120" w:before="60" w:line="240"/>
        <w:ind w:left="120"/>
      </w:pPr>
      <w:r>
        <w:rPr>
          <w:rFonts w:ascii="Consolas" w:cs="Consolas" w:eastAsia="Consolas" w:hAnsi="Consolas"/>
          <w:color w:val="1A1A17"/>
          <w:sz w:val="17"/>
          <w:szCs w:val="17"/>
        </w:rPr>
        <w:t xml:space="preserve">Velae/                     &lt;- user connects THIS folder (root)</w:t>
        <w:br/>
        <w:t xml:space="preserve">|- index.html              ENTRY POINT - keep this exact name</w:t>
        <w:br/>
        <w:t xml:space="preserve">|- README.md               stays at root (convention; GitHub auto-renders)</w:t>
        <w:br/>
        <w:t xml:space="preserve">|- Core/                   APP CODE &amp; ASSETS (safe to nest)</w:t>
        <w:br/>
        <w:t xml:space="preserve">|   |- app.js</w:t>
        <w:br/>
        <w:t xml:space="preserve">|   |- styles.css</w:t>
        <w:br/>
        <w:t xml:space="preserve">|   '- vendor/             mammoth, pdf.min.mjs, docx.umd, jszip</w:t>
        <w:br/>
        <w:t xml:space="preserve">|- Doc/                    NEW - docs (safe to nest)</w:t>
        <w:br/>
        <w:t xml:space="preserve">|   |- architecture.md</w:t>
        <w:br/>
        <w:t xml:space="preserve">|   |- Velae_User_Guide.docx</w:t>
        <w:br/>
        <w:t xml:space="preserve">|   '- Changelog.md</w:t>
        <w:br/>
        <w:t xml:space="preserve">|- data.json               DATA - must stay at root</w:t>
        <w:br/>
        <w:t xml:space="preserve">|- config.json             DATA - must stay at root</w:t>
        <w:br/>
        <w:t xml:space="preserve">|- data.backups/           DATA - must stay at root</w:t>
        <w:br/>
        <w:t xml:space="preserve">'- applications/           DATA - must stay at root</w:t>
        <w:br/>
        <w:t xml:space="preserve">    '- 2026-06_Acme_Role/</w:t>
        <w:br/>
        <w:t xml:space="preserve">        |- application.json     (added in Phase 2)</w:t>
        <w:br/>
        <w:t xml:space="preserve">        |- resume_*.docx</w:t>
        <w:br/>
        <w:t xml:space="preserve">        '- cover-letter_*.docx</w:t>
      </w:r>
    </w:p>
    <w:p>
      <w:pPr>
        <w:pStyle w:val="Heading3"/>
        <w:spacing w:after="70" w:before="150"/>
      </w:pPr>
      <w:r>
        <w:rPr>
          <w:rFonts w:ascii="Georgia" w:cs="Georgia" w:eastAsia="Georgia" w:hAnsi="Georgia"/>
          <w:b/>
          <w:bCs/>
          <w:color w:val="A9745A"/>
          <w:sz w:val="20"/>
          <w:szCs w:val="20"/>
        </w:rPr>
        <w:t xml:space="preserve">Code changes required for the move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In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index.html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: update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&lt;link href="Core/styles.css"&gt;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&lt;script src="Core/app.js"&gt;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, and the four vendored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&lt;script&gt;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/ module paths to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Core/vendor/...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In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app.js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: update the dynamic pdf.js import —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import("./Core/vendor/pdf.min.mjs")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and the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workerSrc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path. Verify mammoth/docx/jszip window globals still load (they attach via the HTML script tags).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Do NOT change any path that resolves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data.json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config.json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data.backups/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, or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applications/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— these are resolved relative to the connected directory handle (root), not relative to the code.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Keep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index.html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as the entry point (web-host default document + convention). For a branded click target, optionally add a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Velae.url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Velae.command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shortcut at root — do not rename the entry file.</w:t>
      </w:r>
    </w:p>
    <w:p>
      <w:r>
        <w:br w:type="page"/>
      </w:r>
    </w:p>
    <w:p>
      <w:pPr>
        <w:pStyle w:val="Heading1"/>
        <w:pBdr>
          <w:bottom w:val="single" w:color="7C4A30" w:sz="8" w:space="6"/>
        </w:pBdr>
        <w:spacing w:after="150" w:before="300"/>
      </w:pPr>
      <w:r>
        <w:rPr>
          <w:rFonts w:ascii="Georgia" w:cs="Georgia" w:eastAsia="Georgia" w:hAnsi="Georgia"/>
          <w:b/>
          <w:bCs/>
          <w:color w:val="7C4A30"/>
          <w:sz w:val="29"/>
          <w:szCs w:val="29"/>
        </w:rPr>
        <w:t xml:space="preserve">2.  Phase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680"/>
        <w:gridCol w:w="4120"/>
        <w:gridCol w:w="1800"/>
      </w:tblGrid>
      <w:tr>
        <w:trPr>
          <w:tblHeader/>
        </w:trPr>
        <w:tc>
          <w:tcPr>
            <w:tcW w:type="dxa" w:w="7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7C4A30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8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7C4A30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4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7C4A30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Delivers</w:t>
            </w:r>
          </w:p>
        </w:tc>
        <w:tc>
          <w:tcPr>
            <w:tcW w:type="dxa" w:w="18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7C4A30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Schema</w:t>
            </w:r>
          </w:p>
        </w:tc>
      </w:tr>
      <w:tr>
        <w:tc>
          <w:tcPr>
            <w:tcW w:type="dxa" w:w="7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A1A17"/>
                <w:sz w:val="18"/>
                <w:szCs w:val="18"/>
              </w:rPr>
              <w:t xml:space="preserve">1</w:t>
            </w:r>
          </w:p>
        </w:tc>
        <w:tc>
          <w:tcPr>
            <w:tcW w:type="dxa" w:w="268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A1A17"/>
                <w:sz w:val="18"/>
                <w:szCs w:val="18"/>
              </w:rPr>
              <w:t xml:space="preserve">Data safety &amp; trust</w:t>
            </w:r>
          </w:p>
        </w:tc>
        <w:tc>
          <w:tcPr>
            <w:tcW w:type="dxa" w:w="4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1A1A17"/>
                <w:sz w:val="18"/>
                <w:szCs w:val="18"/>
              </w:rPr>
              <w:t xml:space="preserve">Undo/recycle bin, integrity check &amp; repair, CSV import</w:t>
            </w:r>
          </w:p>
        </w:tc>
        <w:tc>
          <w:tcPr>
            <w:tcW w:type="dxa" w:w="18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C4A30"/>
                <w:sz w:val="17"/>
                <w:szCs w:val="17"/>
              </w:rPr>
              <w:t xml:space="preserve">v3</w:t>
            </w:r>
          </w:p>
        </w:tc>
      </w:tr>
      <w:tr>
        <w:tc>
          <w:tcPr>
            <w:tcW w:type="dxa" w:w="7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A1A17"/>
                <w:sz w:val="18"/>
                <w:szCs w:val="18"/>
              </w:rPr>
              <w:t xml:space="preserve">2</w:t>
            </w:r>
          </w:p>
        </w:tc>
        <w:tc>
          <w:tcPr>
            <w:tcW w:type="dxa" w:w="268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A1A17"/>
                <w:sz w:val="18"/>
                <w:szCs w:val="18"/>
              </w:rPr>
              <w:t xml:space="preserve">Profile &amp; per-app data</w:t>
            </w:r>
          </w:p>
        </w:tc>
        <w:tc>
          <w:tcPr>
            <w:tcW w:type="dxa" w:w="4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1A1A17"/>
                <w:sz w:val="18"/>
                <w:szCs w:val="18"/>
              </w:rPr>
              <w:t xml:space="preserve">Profile page, profile{} object, application.json</w:t>
            </w:r>
          </w:p>
        </w:tc>
        <w:tc>
          <w:tcPr>
            <w:tcW w:type="dxa" w:w="18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C4A30"/>
                <w:sz w:val="17"/>
                <w:szCs w:val="17"/>
              </w:rPr>
              <w:t xml:space="preserve">v+ both</w:t>
            </w:r>
          </w:p>
        </w:tc>
      </w:tr>
      <w:tr>
        <w:tc>
          <w:tcPr>
            <w:tcW w:type="dxa" w:w="7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A1A17"/>
                <w:sz w:val="18"/>
                <w:szCs w:val="18"/>
              </w:rPr>
              <w:t xml:space="preserve">3</w:t>
            </w:r>
          </w:p>
        </w:tc>
        <w:tc>
          <w:tcPr>
            <w:tcW w:type="dxa" w:w="268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A1A17"/>
                <w:sz w:val="18"/>
                <w:szCs w:val="18"/>
              </w:rPr>
              <w:t xml:space="preserve">Everyday UX &amp; speed</w:t>
            </w:r>
          </w:p>
        </w:tc>
        <w:tc>
          <w:tcPr>
            <w:tcW w:type="dxa" w:w="4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1A1A17"/>
                <w:sz w:val="18"/>
                <w:szCs w:val="18"/>
              </w:rPr>
              <w:t xml:space="preserve">Command palette, keyboard nav, .ics export</w:t>
            </w:r>
          </w:p>
        </w:tc>
        <w:tc>
          <w:tcPr>
            <w:tcW w:type="dxa" w:w="18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A6E52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7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A1A17"/>
                <w:sz w:val="18"/>
                <w:szCs w:val="18"/>
              </w:rPr>
              <w:t xml:space="preserve">4</w:t>
            </w:r>
          </w:p>
        </w:tc>
        <w:tc>
          <w:tcPr>
            <w:tcW w:type="dxa" w:w="268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A1A17"/>
                <w:sz w:val="18"/>
                <w:szCs w:val="18"/>
              </w:rPr>
              <w:t xml:space="preserve">Applications &amp; documents</w:t>
            </w:r>
          </w:p>
        </w:tc>
        <w:tc>
          <w:tcPr>
            <w:tcW w:type="dxa" w:w="4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1A1A17"/>
                <w:sz w:val="18"/>
                <w:szCs w:val="18"/>
              </w:rPr>
              <w:t xml:space="preserve">Master-resume manage, sectioned form, doc panel</w:t>
            </w:r>
          </w:p>
        </w:tc>
        <w:tc>
          <w:tcPr>
            <w:tcW w:type="dxa" w:w="18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07D2A"/>
                <w:sz w:val="17"/>
                <w:szCs w:val="17"/>
              </w:rPr>
              <w:t xml:space="preserve">none*</w:t>
            </w:r>
          </w:p>
        </w:tc>
      </w:tr>
      <w:tr>
        <w:tc>
          <w:tcPr>
            <w:tcW w:type="dxa" w:w="7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A1A17"/>
                <w:sz w:val="18"/>
                <w:szCs w:val="18"/>
              </w:rPr>
              <w:t xml:space="preserve">5</w:t>
            </w:r>
          </w:p>
        </w:tc>
        <w:tc>
          <w:tcPr>
            <w:tcW w:type="dxa" w:w="268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A1A17"/>
                <w:sz w:val="18"/>
                <w:szCs w:val="18"/>
              </w:rPr>
              <w:t xml:space="preserve">AI council depth</w:t>
            </w:r>
          </w:p>
        </w:tc>
        <w:tc>
          <w:tcPr>
            <w:tcW w:type="dxa" w:w="4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1A1A17"/>
                <w:sz w:val="18"/>
                <w:szCs w:val="18"/>
              </w:rPr>
              <w:t xml:space="preserve">Time-in-stage + trend analytics, council polish</w:t>
            </w:r>
          </w:p>
        </w:tc>
        <w:tc>
          <w:tcPr>
            <w:tcW w:type="dxa" w:w="18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07D2A"/>
                <w:sz w:val="17"/>
                <w:szCs w:val="17"/>
              </w:rPr>
              <w:t xml:space="preserve">v? hist</w:t>
            </w:r>
          </w:p>
        </w:tc>
      </w:tr>
      <w:tr>
        <w:tc>
          <w:tcPr>
            <w:tcW w:type="dxa" w:w="7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A1A17"/>
                <w:sz w:val="18"/>
                <w:szCs w:val="18"/>
              </w:rPr>
              <w:t xml:space="preserve">6</w:t>
            </w:r>
          </w:p>
        </w:tc>
        <w:tc>
          <w:tcPr>
            <w:tcW w:type="dxa" w:w="268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A1A17"/>
                <w:sz w:val="18"/>
                <w:szCs w:val="18"/>
              </w:rPr>
              <w:t xml:space="preserve">Presentation &amp; onboarding</w:t>
            </w:r>
          </w:p>
        </w:tc>
        <w:tc>
          <w:tcPr>
            <w:tcW w:type="dxa" w:w="4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1A1A17"/>
                <w:sz w:val="18"/>
                <w:szCs w:val="18"/>
              </w:rPr>
              <w:t xml:space="preserve">Dark theme, first-run onboarding, empty states</w:t>
            </w:r>
          </w:p>
        </w:tc>
        <w:tc>
          <w:tcPr>
            <w:tcW w:type="dxa" w:w="18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A6E52"/>
                <w:sz w:val="17"/>
                <w:szCs w:val="17"/>
              </w:rPr>
              <w:t xml:space="preserve">none</w:t>
            </w:r>
          </w:p>
        </w:tc>
      </w:tr>
    </w:tbl>
    <w:p>
      <w:pPr>
        <w:spacing w:after="50"/>
      </w:pP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* Phase 4's document panel is schema-free but Chrome/Edge-only (needs the directory handle); it degrades to a hint on Safari. Phase 2 supersedes part of it — see note in Phase 4.</w:t>
      </w:r>
    </w:p>
    <w:p>
      <w:pPr>
        <w:pBdr>
          <w:left w:val="single" w:color="B07D2A" w:sz="18" w:space="12"/>
        </w:pBdr>
        <w:shd w:fill="F7EFE3" w:val="clear"/>
        <w:spacing w:after="140" w:line="274"/>
      </w:pPr>
      <w:r>
        <w:rPr>
          <w:rFonts w:ascii="Calibri" w:cs="Calibri" w:eastAsia="Calibri" w:hAnsi="Calibri"/>
          <w:b/>
          <w:bCs/>
          <w:color w:val="B07D2A"/>
          <w:sz w:val="19"/>
          <w:szCs w:val="19"/>
        </w:rPr>
        <w:t xml:space="preserve">Sequencing note:  </w:t>
      </w:r>
      <w:r>
        <w:rPr>
          <w:rFonts w:ascii="Calibri" w:cs="Calibri" w:eastAsia="Calibri" w:hAnsi="Calibri"/>
          <w:i/>
          <w:iCs/>
          <w:color w:val="1A1A17"/>
          <w:sz w:val="19"/>
          <w:szCs w:val="19"/>
        </w:rPr>
        <w:t xml:space="preserve">Phase 1 is complete. Phase 2 (Profile + per-application data) now comes second because it depends on Phase 1's migration framework, and its per-application file underpins the document and tailoring work that follows — it also supplies Phase 5.2's "persist last tailoring" item. Phases 3–6 then proceed: everyday UX &amp; speed, applications &amp; documents, AI depth, and finally presentation &amp; onboarding.</w:t>
      </w:r>
    </w:p>
    <w:p>
      <w:r>
        <w:br w:type="page"/>
      </w:r>
    </w:p>
    <w:p>
      <w:pPr>
        <w:pStyle w:val="Heading1"/>
        <w:pBdr>
          <w:bottom w:val="single" w:color="7C4A30" w:sz="8" w:space="6"/>
        </w:pBdr>
        <w:spacing w:after="150" w:before="300"/>
      </w:pPr>
      <w:r>
        <w:rPr>
          <w:rFonts w:ascii="Georgia" w:cs="Georgia" w:eastAsia="Georgia" w:hAnsi="Georgia"/>
          <w:b/>
          <w:bCs/>
          <w:color w:val="7C4A30"/>
          <w:sz w:val="29"/>
          <w:szCs w:val="29"/>
        </w:rPr>
        <w:t xml:space="preserve">Phase 1.  Data safety &amp; trust</w:t>
      </w:r>
    </w:p>
    <w:p>
      <w:pPr>
        <w:pBdr>
          <w:left w:val="single" w:color="7C4A30" w:sz="18" w:space="12"/>
        </w:pBdr>
        <w:shd w:fill="EFEAE0" w:val="clear"/>
        <w:spacing w:after="140" w:line="274"/>
      </w:pPr>
      <w:r>
        <w:rPr>
          <w:rFonts w:ascii="Calibri" w:cs="Calibri" w:eastAsia="Calibri" w:hAnsi="Calibri"/>
          <w:b/>
          <w:bCs/>
          <w:color w:val="7C4A30"/>
          <w:sz w:val="19"/>
          <w:szCs w:val="19"/>
        </w:rPr>
        <w:t xml:space="preserve">Goal:  </w:t>
      </w:r>
      <w:r>
        <w:rPr>
          <w:rFonts w:ascii="Calibri" w:cs="Calibri" w:eastAsia="Calibri" w:hAnsi="Calibri"/>
          <w:i/>
          <w:iCs/>
          <w:color w:val="1A1A17"/>
          <w:sz w:val="19"/>
          <w:szCs w:val="19"/>
        </w:rPr>
        <w:t xml:space="preserve">No action unrecoverable; the data file self-healing and easy to migrate into. First, because it de-risks every later phase — repairs and imports themselves ride on undo.</w:t>
      </w:r>
    </w:p>
    <w:p>
      <w:pPr>
        <w:pStyle w:val="Heading2"/>
        <w:spacing w:after="110" w:before="230"/>
      </w:pPr>
      <w:r>
        <w:rPr>
          <w:rFonts w:ascii="Georgia" w:cs="Georgia" w:eastAsia="Georgia" w:hAnsi="Georgia"/>
          <w:b/>
          <w:bCs/>
          <w:color w:val="1A1A17"/>
          <w:sz w:val="23"/>
          <w:szCs w:val="23"/>
        </w:rPr>
        <w:t xml:space="preserve">1.1  Undo / redo + recycle bin  (schemaVersion →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E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C4A30"/>
                <w:sz w:val="17"/>
                <w:szCs w:val="17"/>
              </w:rPr>
              <w:t xml:space="preserve">Build</w:t>
            </w:r>
          </w:p>
        </w:tc>
        <w:tc>
          <w:tcPr>
            <w:tcW w:type="dxa" w:w="761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E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In-memory ring buffer of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structuredClone(State.data)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 snapshots taken BEFORE each mutation. Wire Cmd/Ctrl+Z and Cmd/Ctrl+Shift+Z. Add a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trash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 array (soft-delete) with 30-day auto-purge + an undo toast on delete.</w:t>
            </w:r>
          </w:p>
        </w:tc>
      </w:tr>
      <w:tr>
        <w:tc>
          <w:tcPr>
            <w:tcW w:type="dxa" w:w="175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C4A30"/>
                <w:sz w:val="17"/>
                <w:szCs w:val="17"/>
              </w:rPr>
              <w:t xml:space="preserve">Touch points</w:t>
            </w:r>
          </w:p>
        </w:tc>
        <w:tc>
          <w:tcPr>
            <w:tcW w:type="dxa" w:w="761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Wrap mutations: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deleteApp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deleteCompany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saveAppForm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, status edits,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moveCard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. Snapshot at the top of each.</w:t>
            </w:r>
          </w:p>
        </w:tc>
      </w:tr>
      <w:tr>
        <w:tc>
          <w:tcPr>
            <w:tcW w:type="dxa" w:w="175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E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C4A30"/>
                <w:sz w:val="17"/>
                <w:szCs w:val="17"/>
              </w:rPr>
              <w:t xml:space="preserve">Migration</w:t>
            </w:r>
          </w:p>
        </w:tc>
        <w:tc>
          <w:tcPr>
            <w:tcW w:type="dxa" w:w="761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E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Add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trash:[]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 if absent; set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schemaVersion=3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. Extend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ensureConfig()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 / the load path.</w:t>
            </w:r>
          </w:p>
        </w:tc>
      </w:tr>
      <w:tr>
        <w:tc>
          <w:tcPr>
            <w:tcW w:type="dxa" w:w="175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C4A30"/>
                <w:sz w:val="17"/>
                <w:szCs w:val="17"/>
              </w:rPr>
              <w:t xml:space="preserve">Pitfall</w:t>
            </w:r>
          </w:p>
        </w:tc>
        <w:tc>
          <w:tcPr>
            <w:tcW w:type="dxa" w:w="761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Snapshots MUST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structuredClone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, not reference, or undo is hollow. Cap buffer length (e.g. 50).</w:t>
            </w:r>
          </w:p>
        </w:tc>
      </w:tr>
    </w:tbl>
    <w:p>
      <w:pPr>
        <w:pStyle w:val="Heading2"/>
        <w:spacing w:after="110" w:before="230"/>
      </w:pPr>
      <w:r>
        <w:rPr>
          <w:rFonts w:ascii="Georgia" w:cs="Georgia" w:eastAsia="Georgia" w:hAnsi="Georgia"/>
          <w:b/>
          <w:bCs/>
          <w:color w:val="1A1A17"/>
          <w:sz w:val="23"/>
          <w:szCs w:val="23"/>
        </w:rPr>
        <w:t xml:space="preserve">1.2  Integrity check &amp; one-click repair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E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C4A30"/>
                <w:sz w:val="17"/>
                <w:szCs w:val="17"/>
              </w:rPr>
              <w:t xml:space="preserve">Build</w:t>
            </w:r>
          </w:p>
        </w:tc>
        <w:tc>
          <w:tcPr>
            <w:tcW w:type="dxa" w:w="761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E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A Settings panel that scans on load + on demand for: orphaned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companyId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, statuses absent from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meta.statuses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, malformed dates, missing IDs. Report findings; offer one-click fixes.</w:t>
            </w:r>
          </w:p>
        </w:tc>
      </w:tr>
      <w:tr>
        <w:tc>
          <w:tcPr>
            <w:tcW w:type="dxa" w:w="175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C4A30"/>
                <w:sz w:val="17"/>
                <w:szCs w:val="17"/>
              </w:rPr>
              <w:t xml:space="preserve">Pattern</w:t>
            </w:r>
          </w:p>
        </w:tc>
        <w:tc>
          <w:tcPr>
            <w:tcW w:type="dxa" w:w="761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Mirror the existing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ensureStatusMeta()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 load-migration approach. Repairs mutate data → route them THROUGH undo (1.1) so a bad repair is reversible.</w:t>
            </w:r>
          </w:p>
        </w:tc>
      </w:tr>
    </w:tbl>
    <w:p>
      <w:pPr>
        <w:pStyle w:val="Heading2"/>
        <w:spacing w:after="110" w:before="230"/>
      </w:pPr>
      <w:r>
        <w:rPr>
          <w:rFonts w:ascii="Georgia" w:cs="Georgia" w:eastAsia="Georgia" w:hAnsi="Georgia"/>
          <w:b/>
          <w:bCs/>
          <w:color w:val="1A1A17"/>
          <w:sz w:val="23"/>
          <w:szCs w:val="23"/>
        </w:rPr>
        <w:t xml:space="preserve">1.3  CSV 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E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C4A30"/>
                <w:sz w:val="17"/>
                <w:szCs w:val="17"/>
              </w:rPr>
              <w:t xml:space="preserve">Build</w:t>
            </w:r>
          </w:p>
        </w:tc>
        <w:tc>
          <w:tcPr>
            <w:tcW w:type="dxa" w:w="761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E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Inverse of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applicationsCSV()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companiesCSV()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. Parse uploaded CSV, map columns, auto-create companies (reuse the new-company logic in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saveAppForm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), preview the diff, commit through undo.</w:t>
            </w:r>
          </w:p>
        </w:tc>
      </w:tr>
      <w:tr>
        <w:tc>
          <w:tcPr>
            <w:tcW w:type="dxa" w:w="175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C4A30"/>
                <w:sz w:val="17"/>
                <w:szCs w:val="17"/>
              </w:rPr>
              <w:t xml:space="preserve">Parser</w:t>
            </w:r>
          </w:p>
        </w:tc>
        <w:tc>
          <w:tcPr>
            <w:tcW w:type="dxa" w:w="761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Small dependency-free CSV parser (handle quoted fields, embedded commas/newlines). No new vendored lib.</w:t>
            </w:r>
          </w:p>
        </w:tc>
      </w:tr>
      <w:tr>
        <w:tc>
          <w:tcPr>
            <w:tcW w:type="dxa" w:w="175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E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C4A30"/>
                <w:sz w:val="17"/>
                <w:szCs w:val="17"/>
              </w:rPr>
              <w:t xml:space="preserve">Pitfall</w:t>
            </w:r>
          </w:p>
        </w:tc>
        <w:tc>
          <w:tcPr>
            <w:tcW w:type="dxa" w:w="761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E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Parsing edge cases — the preview-before-commit step + undo contain the risk.</w:t>
            </w:r>
          </w:p>
        </w:tc>
      </w:tr>
    </w:tbl>
    <w:p>
      <w:pPr>
        <w:pStyle w:val="Heading3"/>
        <w:spacing w:after="70" w:before="150"/>
      </w:pPr>
      <w:r>
        <w:rPr>
          <w:rFonts w:ascii="Georgia" w:cs="Georgia" w:eastAsia="Georgia" w:hAnsi="Georgia"/>
          <w:b/>
          <w:bCs/>
          <w:color w:val="A9745A"/>
          <w:sz w:val="20"/>
          <w:szCs w:val="20"/>
        </w:rPr>
        <w:t xml:space="preserve">Exit criteria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Any delete/edit is undoable; deleted apps recoverable 30 days; corrupted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data.json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surfaces + repairs in one click; a real exported CSV round-trips back cleanly.</w:t>
      </w:r>
    </w:p>
    <w:p>
      <w:r>
        <w:br w:type="page"/>
      </w:r>
    </w:p>
    <w:p>
      <w:pPr>
        <w:pStyle w:val="Heading1"/>
        <w:pBdr>
          <w:bottom w:val="single" w:color="7C4A30" w:sz="8" w:space="6"/>
        </w:pBdr>
        <w:spacing w:after="150" w:before="300"/>
      </w:pPr>
      <w:r>
        <w:rPr>
          <w:rFonts w:ascii="Georgia" w:cs="Georgia" w:eastAsia="Georgia" w:hAnsi="Georgia"/>
          <w:b/>
          <w:bCs/>
          <w:color w:val="7C4A30"/>
          <w:sz w:val="29"/>
          <w:szCs w:val="29"/>
        </w:rPr>
        <w:t xml:space="preserve">Phase 2.  Profile page &amp; per-application data</w:t>
      </w:r>
    </w:p>
    <w:p>
      <w:pPr>
        <w:pBdr>
          <w:left w:val="single" w:color="7C4A30" w:sz="18" w:space="12"/>
        </w:pBdr>
        <w:shd w:fill="EFEAE0" w:val="clear"/>
        <w:spacing w:after="140" w:line="274"/>
      </w:pPr>
      <w:r>
        <w:rPr>
          <w:rFonts w:ascii="Calibri" w:cs="Calibri" w:eastAsia="Calibri" w:hAnsi="Calibri"/>
          <w:b/>
          <w:bCs/>
          <w:color w:val="7C4A30"/>
          <w:sz w:val="19"/>
          <w:szCs w:val="19"/>
        </w:rPr>
        <w:t xml:space="preserve">Goal:  </w:t>
      </w:r>
      <w:r>
        <w:rPr>
          <w:rFonts w:ascii="Calibri" w:cs="Calibri" w:eastAsia="Calibri" w:hAnsi="Calibri"/>
          <w:i/>
          <w:iCs/>
          <w:color w:val="1A1A17"/>
          <w:sz w:val="19"/>
          <w:szCs w:val="19"/>
        </w:rPr>
        <w:t xml:space="preserve">Give the user a proper Profile home, and capture each application's job description + tailored documents as durable, inline-viewable data — solving the Lite document-access problem by storing text, not binaries.</w:t>
      </w:r>
    </w:p>
    <w:p>
      <w:pPr>
        <w:pStyle w:val="Heading2"/>
        <w:spacing w:after="110" w:before="230"/>
      </w:pPr>
      <w:r>
        <w:rPr>
          <w:rFonts w:ascii="Georgia" w:cs="Georgia" w:eastAsia="Georgia" w:hAnsi="Georgia"/>
          <w:b/>
          <w:bCs/>
          <w:color w:val="1A1A17"/>
          <w:sz w:val="23"/>
          <w:szCs w:val="23"/>
        </w:rPr>
        <w:t xml:space="preserve">2.1  Profile page  (promote masterResume into a profile{} object)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E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C4A30"/>
                <w:sz w:val="17"/>
                <w:szCs w:val="17"/>
              </w:rPr>
              <w:t xml:space="preserve">Build</w:t>
            </w:r>
          </w:p>
        </w:tc>
        <w:tc>
          <w:tcPr>
            <w:tcW w:type="dxa" w:w="761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E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New "Profile" view + nav item. Relocate the master resume here from Settings. Add a contact block (name, email, phone, location, LinkedIn/portfolio URLs) the council can draw on.</w:t>
            </w:r>
          </w:p>
        </w:tc>
      </w:tr>
      <w:tr>
        <w:tc>
          <w:tcPr>
            <w:tcW w:type="dxa" w:w="175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C4A30"/>
                <w:sz w:val="17"/>
                <w:szCs w:val="17"/>
              </w:rPr>
              <w:t xml:space="preserve">Schema</w:t>
            </w:r>
          </w:p>
        </w:tc>
        <w:tc>
          <w:tcPr>
            <w:tcW w:type="dxa" w:w="761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Promote to a top-level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profile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 object in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data.json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. Migration: move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config.masterResume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 →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profile.masterResume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 (+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config.applicantName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 →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profile.name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 if desired). Bump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schemaVersion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. Keep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config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 for model + keys-adjacent settings only.</w:t>
            </w:r>
          </w:p>
        </w:tc>
      </w:tr>
      <w:tr>
        <w:tc>
          <w:tcPr>
            <w:tcW w:type="dxa" w:w="175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E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C4A30"/>
                <w:sz w:val="17"/>
                <w:szCs w:val="17"/>
              </w:rPr>
              <w:t xml:space="preserve">Why not profile.json</w:t>
            </w:r>
          </w:p>
        </w:tc>
        <w:tc>
          <w:tcPr>
            <w:tcW w:type="dxa" w:w="761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E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Keep it IN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data.json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. Profile data is small; a separate file fragments the one-file contract for no benefit. (Contrast 6.2, which is bulky and per-application → belongs in folders.)</w:t>
            </w:r>
          </w:p>
        </w:tc>
      </w:tr>
      <w:tr>
        <w:tc>
          <w:tcPr>
            <w:tcW w:type="dxa" w:w="175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C4A30"/>
                <w:sz w:val="17"/>
                <w:szCs w:val="17"/>
              </w:rPr>
              <w:t xml:space="preserve">Defer</w:t>
            </w:r>
          </w:p>
        </w:tc>
        <w:tc>
          <w:tcPr>
            <w:tcW w:type="dxa" w:w="761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Saved snippets / multiple resume variants — resist until needed; one master keeps it simple, and the council tailors per job anyway.</w:t>
            </w:r>
          </w:p>
        </w:tc>
      </w:tr>
    </w:tbl>
    <w:p>
      <w:pPr>
        <w:pStyle w:val="Heading2"/>
        <w:spacing w:after="110" w:before="230"/>
      </w:pPr>
      <w:r>
        <w:rPr>
          <w:rFonts w:ascii="Georgia" w:cs="Georgia" w:eastAsia="Georgia" w:hAnsi="Georgia"/>
          <w:b/>
          <w:bCs/>
          <w:color w:val="1A1A17"/>
          <w:sz w:val="23"/>
          <w:szCs w:val="23"/>
        </w:rPr>
        <w:t xml:space="preserve">2.2  Per-application data file  (application.json per folder)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The key insight: storing JD + tailored resume + cover letter as </w:t>
      </w:r>
      <w:r>
        <w:rPr>
          <w:rFonts w:ascii="Calibri" w:cs="Calibri" w:eastAsia="Calibri" w:hAnsi="Calibri"/>
          <w:b/>
          <w:bCs/>
          <w:i w:val="false"/>
          <w:iCs w:val="false"/>
          <w:color w:val="1A1A17"/>
          <w:sz w:val="21"/>
          <w:szCs w:val="21"/>
        </w:rPr>
        <w:t xml:space="preserve">text in 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(not as binary .docx) means the application page can render them </w:t>
      </w:r>
      <w:r>
        <w:rPr>
          <w:rFonts w:ascii="Calibri" w:cs="Calibri" w:eastAsia="Calibri" w:hAnsi="Calibri"/>
          <w:b/>
          <w:bCs/>
          <w:i w:val="false"/>
          <w:iCs w:val="false"/>
          <w:color w:val="1A1A17"/>
          <w:sz w:val="21"/>
          <w:szCs w:val="21"/>
        </w:rPr>
        <w:t xml:space="preserve">inline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— no native file-open, no File System Access gymnastics. This is the elegant resolution of the Phase 4 document-access problem. And the job description survives the posting being taken down — valuable at interview time.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Shape — one file per application, in its folder (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data.json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keeps only the index + path, per invariant #7):</w:t>
      </w:r>
    </w:p>
    <w:p>
      <w:pPr>
        <w:pBdr>
          <w:left w:val="single" w:color="D8D2C4" w:sz="12" w:space="10"/>
        </w:pBdr>
        <w:shd w:fill="F2EFE7" w:val="clear"/>
        <w:spacing w:after="120" w:before="60" w:line="240"/>
        <w:ind w:left="120"/>
      </w:pPr>
      <w:r>
        <w:rPr>
          <w:rFonts w:ascii="Consolas" w:cs="Consolas" w:eastAsia="Consolas" w:hAnsi="Consolas"/>
          <w:color w:val="1A1A17"/>
          <w:sz w:val="17"/>
          <w:szCs w:val="17"/>
        </w:rPr>
        <w:t xml:space="preserve">applications/2026-06_Acme_Role/application.json</w:t>
        <w:br/>
        <w:t xml:space="preserve">{</w:t>
        <w:br/>
        <w:t xml:space="preserve">  "jobDescription": "&lt;full JD text, captured at apply time&gt;",</w:t>
        <w:br/>
        <w:t xml:space="preserve">  "tailoredResume": "&lt;plain text&gt;",</w:t>
        <w:br/>
        <w:t xml:space="preserve">  "coverLetter":    "&lt;plain text&gt;",</w:t>
        <w:br/>
        <w:t xml:space="preserve">  "matchScore": 82,</w:t>
        <w:br/>
        <w:t xml:space="preserve">  "rationale": "...",</w:t>
        <w:br/>
        <w:t xml:space="preserve">  "gaps": [ { "item":"...", "severity":"missing", "note":"..." } ],</w:t>
        <w:br/>
        <w:t xml:space="preserve">  "savedAt": "&lt;ISO timestamp&gt;",</w:t>
        <w:br/>
        <w:t xml:space="preserve">  "source": "gemini | paste | merged"</w:t>
        <w:br/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E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C4A30"/>
                <w:sz w:val="17"/>
                <w:szCs w:val="17"/>
              </w:rPr>
              <w:t xml:space="preserve">Read/write</w:t>
            </w:r>
          </w:p>
        </w:tc>
        <w:tc>
          <w:tcPr>
            <w:tcW w:type="dxa" w:w="761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E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Reuse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resolveAppFolder(app.folder)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 to read/write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application.json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. The Tailor council writes results here; the application page reads + displays them inline; reopening Tailor restores the last run (this IS Phase 5.2's "persist last tailoring").</w:t>
            </w:r>
          </w:p>
        </w:tc>
      </w:tr>
      <w:tr>
        <w:tc>
          <w:tcPr>
            <w:tcW w:type="dxa" w:w="175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C4A30"/>
                <w:sz w:val="17"/>
                <w:szCs w:val="17"/>
              </w:rPr>
              <w:t xml:space="preserve">Browser split</w:t>
            </w:r>
          </w:p>
        </w:tc>
        <w:tc>
          <w:tcPr>
            <w:tcW w:type="dxa" w:w="761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Chrome/Edge: read/write the per-folder file directly via the handle. Safari (no handle): degrade — feature is reduced, consistent with the rest of the app. Accepted (see decision below).</w:t>
            </w:r>
          </w:p>
        </w:tc>
      </w:tr>
      <w:tr>
        <w:tc>
          <w:tcPr>
            <w:tcW w:type="dxa" w:w="175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E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C4A30"/>
                <w:sz w:val="17"/>
                <w:szCs w:val="17"/>
              </w:rPr>
              <w:t xml:space="preserve">Keep .docx too</w:t>
            </w:r>
          </w:p>
        </w:tc>
        <w:tc>
          <w:tcPr>
            <w:tcW w:type="dxa" w:w="761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E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Still generate the .docx the user emails (existing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saveDocx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).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application.json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 is the viewable/restorable data; the .docx is the deliverable.</w:t>
            </w:r>
          </w:p>
        </w:tc>
      </w:tr>
    </w:tbl>
    <w:p>
      <w:pPr>
        <w:pStyle w:val="Heading3"/>
        <w:spacing w:after="70" w:before="150"/>
      </w:pPr>
      <w:r>
        <w:rPr>
          <w:rFonts w:ascii="Georgia" w:cs="Georgia" w:eastAsia="Georgia" w:hAnsi="Georgia"/>
          <w:b/>
          <w:bCs/>
          <w:color w:val="A9745A"/>
          <w:sz w:val="20"/>
          <w:szCs w:val="20"/>
        </w:rPr>
        <w:t xml:space="preserve">Resolved decisions (per owner)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Safari readability of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application.json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: </w:t>
      </w:r>
      <w:r>
        <w:rPr>
          <w:rFonts w:ascii="Calibri" w:cs="Calibri" w:eastAsia="Calibri" w:hAnsi="Calibri"/>
          <w:b/>
          <w:bCs/>
          <w:i w:val="false"/>
          <w:iCs w:val="false"/>
          <w:color w:val="1A1A17"/>
          <w:sz w:val="21"/>
          <w:szCs w:val="21"/>
        </w:rPr>
        <w:t xml:space="preserve">accepted as degraded.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README states Velae Lite runs best on Chrome/Edge; Safari/Firefox use manual save/load with reduced document features. Not a dealbreaker.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Embed-everything-in-data.json instead? </w:t>
      </w:r>
      <w:r>
        <w:rPr>
          <w:rFonts w:ascii="Calibri" w:cs="Calibri" w:eastAsia="Calibri" w:hAnsi="Calibri"/>
          <w:b/>
          <w:bCs/>
          <w:i w:val="false"/>
          <w:iCs w:val="false"/>
          <w:color w:val="1A1A17"/>
          <w:sz w:val="21"/>
          <w:szCs w:val="21"/>
        </w:rPr>
        <w:t xml:space="preserve">Rejected.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Measured: 500 apps × full JD+resume+letter ≈ </w:t>
      </w:r>
      <w:r>
        <w:rPr>
          <w:rFonts w:ascii="Calibri" w:cs="Calibri" w:eastAsia="Calibri" w:hAnsi="Calibri"/>
          <w:b/>
          <w:bCs/>
          <w:i w:val="false"/>
          <w:iCs w:val="false"/>
          <w:color w:val="1A1A17"/>
          <w:sz w:val="21"/>
          <w:szCs w:val="21"/>
        </w:rPr>
        <w:t xml:space="preserve">6 MB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in one file. Velae rewrites the WHOLE file on every (debounced) save and writes 30 rolling backups → ~180 MB of backups, plus the whole heavy object held in memory even when just viewing the dashboard. Per-folder keeps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data.json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~KB and touches heavy text only on demand. Per-folder wins; the only reason to embed was Safari, now moot.</w:t>
      </w:r>
    </w:p>
    <w:p>
      <w:pPr>
        <w:pStyle w:val="Heading3"/>
        <w:spacing w:after="70" w:before="150"/>
      </w:pPr>
      <w:r>
        <w:rPr>
          <w:rFonts w:ascii="Georgia" w:cs="Georgia" w:eastAsia="Georgia" w:hAnsi="Georgia"/>
          <w:b/>
          <w:bCs/>
          <w:color w:val="A9745A"/>
          <w:sz w:val="20"/>
          <w:szCs w:val="20"/>
        </w:rPr>
        <w:t xml:space="preserve">Exit criteria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Profile page holds the master resume + contact block;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profile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object migrated. Applying/tailoring writes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application.json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; the application page displays JD + tailored resume + cover letter inline on Chrome/Edge;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data.json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stays small.</w:t>
      </w:r>
    </w:p>
    <w:p>
      <w:r>
        <w:br w:type="page"/>
      </w:r>
    </w:p>
    <w:p>
      <w:pPr>
        <w:pStyle w:val="Heading1"/>
        <w:pBdr>
          <w:bottom w:val="single" w:color="7C4A30" w:sz="8" w:space="6"/>
        </w:pBdr>
        <w:spacing w:after="150" w:before="300"/>
      </w:pPr>
      <w:r>
        <w:rPr>
          <w:rFonts w:ascii="Georgia" w:cs="Georgia" w:eastAsia="Georgia" w:hAnsi="Georgia"/>
          <w:b/>
          <w:bCs/>
          <w:color w:val="7C4A30"/>
          <w:sz w:val="29"/>
          <w:szCs w:val="29"/>
        </w:rPr>
        <w:t xml:space="preserve">Phase 3.  Everyday UX &amp; speed</w:t>
      </w:r>
    </w:p>
    <w:p>
      <w:pPr>
        <w:pBdr>
          <w:left w:val="single" w:color="7C4A30" w:sz="18" w:space="12"/>
        </w:pBdr>
        <w:shd w:fill="EFEAE0" w:val="clear"/>
        <w:spacing w:after="140" w:line="274"/>
      </w:pPr>
      <w:r>
        <w:rPr>
          <w:rFonts w:ascii="Calibri" w:cs="Calibri" w:eastAsia="Calibri" w:hAnsi="Calibri"/>
          <w:b/>
          <w:bCs/>
          <w:color w:val="7C4A30"/>
          <w:sz w:val="19"/>
          <w:szCs w:val="19"/>
        </w:rPr>
        <w:t xml:space="preserve">Goal:  </w:t>
      </w:r>
      <w:r>
        <w:rPr>
          <w:rFonts w:ascii="Calibri" w:cs="Calibri" w:eastAsia="Calibri" w:hAnsi="Calibri"/>
          <w:i/>
          <w:iCs/>
          <w:color w:val="1A1A17"/>
          <w:sz w:val="19"/>
          <w:szCs w:val="19"/>
        </w:rPr>
        <w:t xml:space="preserve">Make daily use fast and pleasant. Deliberately schema-free — ships quickly after Phase 1 for visible momentum. Pure DOM + events, fully in-constraint.</w:t>
      </w:r>
    </w:p>
    <w:p>
      <w:pPr>
        <w:pStyle w:val="Heading2"/>
        <w:spacing w:after="110" w:before="230"/>
      </w:pPr>
      <w:r>
        <w:rPr>
          <w:rFonts w:ascii="Georgia" w:cs="Georgia" w:eastAsia="Georgia" w:hAnsi="Georgia"/>
          <w:b/>
          <w:bCs/>
          <w:color w:val="1A1A17"/>
          <w:sz w:val="23"/>
          <w:szCs w:val="23"/>
        </w:rPr>
        <w:t xml:space="preserve">3.1  Command palette (Cmd/Ctrl+K)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E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C4A30"/>
                <w:sz w:val="17"/>
                <w:szCs w:val="17"/>
              </w:rPr>
              <w:t xml:space="preserve">Build</w:t>
            </w:r>
          </w:p>
        </w:tc>
        <w:tc>
          <w:tcPr>
            <w:tcW w:type="dxa" w:w="761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E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Modal (reuse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openModal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) with a filtered command registry (label → handler) + keyboard selection. Commands: navigate to each view, new application, run tailor, export, back up now, toggle theme (Phase 6).</w:t>
            </w:r>
          </w:p>
        </w:tc>
      </w:tr>
      <w:tr>
        <w:tc>
          <w:tcPr>
            <w:tcW w:type="dxa" w:w="175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C4A30"/>
                <w:sz w:val="17"/>
                <w:szCs w:val="17"/>
              </w:rPr>
              <w:t xml:space="preserve">Pitfall</w:t>
            </w:r>
          </w:p>
        </w:tc>
        <w:tc>
          <w:tcPr>
            <w:tcW w:type="dxa" w:w="761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One global keydown listener; guard against firing while a modal/textarea is focused.</w:t>
            </w:r>
          </w:p>
        </w:tc>
      </w:tr>
    </w:tbl>
    <w:p>
      <w:pPr>
        <w:pStyle w:val="Heading2"/>
        <w:spacing w:after="110" w:before="230"/>
      </w:pPr>
      <w:r>
        <w:rPr>
          <w:rFonts w:ascii="Georgia" w:cs="Georgia" w:eastAsia="Georgia" w:hAnsi="Georgia"/>
          <w:b/>
          <w:bCs/>
          <w:color w:val="1A1A17"/>
          <w:sz w:val="23"/>
          <w:szCs w:val="23"/>
        </w:rPr>
        <w:t xml:space="preserve">3.2  Keyboard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E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C4A30"/>
                <w:sz w:val="17"/>
                <w:szCs w:val="17"/>
              </w:rPr>
              <w:t xml:space="preserve">Build</w:t>
            </w:r>
          </w:p>
        </w:tc>
        <w:tc>
          <w:tcPr>
            <w:tcW w:type="dxa" w:w="761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E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Number keys switch views; "/" focuses search; "n" new application; Esc already closes modals. Extend the 2.1 handler with an "is user typing in a field?" guard.</w:t>
            </w:r>
          </w:p>
        </w:tc>
      </w:tr>
    </w:tbl>
    <w:p>
      <w:pPr>
        <w:pStyle w:val="Heading2"/>
        <w:spacing w:after="110" w:before="230"/>
      </w:pPr>
      <w:r>
        <w:rPr>
          <w:rFonts w:ascii="Georgia" w:cs="Georgia" w:eastAsia="Georgia" w:hAnsi="Georgia"/>
          <w:b/>
          <w:bCs/>
          <w:color w:val="1A1A17"/>
          <w:sz w:val="23"/>
          <w:szCs w:val="23"/>
        </w:rPr>
        <w:t xml:space="preserve">3.3  Calendar export (.ics)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E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C4A30"/>
                <w:sz w:val="17"/>
                <w:szCs w:val="17"/>
              </w:rPr>
              <w:t xml:space="preserve">Build</w:t>
            </w:r>
          </w:p>
        </w:tc>
        <w:tc>
          <w:tcPr>
            <w:tcW w:type="dxa" w:w="761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E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Iterate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applications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 with a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followUpDate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; emit one VEVENT each (optional VALARM). Download via the existing Blob /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&lt;a download&gt;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 pattern used by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exportEverything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.</w:t>
            </w:r>
          </w:p>
        </w:tc>
      </w:tr>
      <w:tr>
        <w:tc>
          <w:tcPr>
            <w:tcW w:type="dxa" w:w="175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C4A30"/>
                <w:sz w:val="17"/>
                <w:szCs w:val="17"/>
              </w:rPr>
              <w:t xml:space="preserve">Pitfall</w:t>
            </w:r>
          </w:p>
        </w:tc>
        <w:tc>
          <w:tcPr>
            <w:tcW w:type="dxa" w:w="761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iCalendar line-folding (75-octet) +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DTSTART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 date formatting per RFC 5545. Unit-test the generator.</w:t>
            </w:r>
          </w:p>
        </w:tc>
      </w:tr>
    </w:tbl>
    <w:p>
      <w:pPr>
        <w:pStyle w:val="Heading3"/>
        <w:spacing w:after="70" w:before="150"/>
      </w:pPr>
      <w:r>
        <w:rPr>
          <w:rFonts w:ascii="Georgia" w:cs="Georgia" w:eastAsia="Georgia" w:hAnsi="Georgia"/>
          <w:b/>
          <w:bCs/>
          <w:color w:val="A9745A"/>
          <w:sz w:val="20"/>
          <w:szCs w:val="20"/>
        </w:rPr>
        <w:t xml:space="preserve">Exit criteria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Palette reaches every view + primary action from the keyboard; exported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.ics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imports cleanly into Google + Apple Calendar.</w:t>
      </w:r>
    </w:p>
    <w:p>
      <w:r>
        <w:br w:type="page"/>
      </w:r>
    </w:p>
    <w:p>
      <w:pPr>
        <w:pStyle w:val="Heading1"/>
        <w:pBdr>
          <w:bottom w:val="single" w:color="7C4A30" w:sz="8" w:space="6"/>
        </w:pBdr>
        <w:spacing w:after="150" w:before="300"/>
      </w:pPr>
      <w:r>
        <w:rPr>
          <w:rFonts w:ascii="Georgia" w:cs="Georgia" w:eastAsia="Georgia" w:hAnsi="Georgia"/>
          <w:b/>
          <w:bCs/>
          <w:color w:val="7C4A30"/>
          <w:sz w:val="29"/>
          <w:szCs w:val="29"/>
        </w:rPr>
        <w:t xml:space="preserve">Phase 4.  Applications &amp; documents</w:t>
      </w:r>
    </w:p>
    <w:p>
      <w:pPr>
        <w:pBdr>
          <w:left w:val="single" w:color="7C4A30" w:sz="18" w:space="12"/>
        </w:pBdr>
        <w:shd w:fill="EFEAE0" w:val="clear"/>
        <w:spacing w:after="140" w:line="274"/>
      </w:pPr>
      <w:r>
        <w:rPr>
          <w:rFonts w:ascii="Calibri" w:cs="Calibri" w:eastAsia="Calibri" w:hAnsi="Calibri"/>
          <w:b/>
          <w:bCs/>
          <w:color w:val="7C4A30"/>
          <w:sz w:val="19"/>
          <w:szCs w:val="19"/>
        </w:rPr>
        <w:t xml:space="preserve">Goal:  </w:t>
      </w:r>
      <w:r>
        <w:rPr>
          <w:rFonts w:ascii="Calibri" w:cs="Calibri" w:eastAsia="Calibri" w:hAnsi="Calibri"/>
          <w:i/>
          <w:iCs/>
          <w:color w:val="1A1A17"/>
          <w:sz w:val="19"/>
          <w:szCs w:val="19"/>
        </w:rPr>
        <w:t xml:space="preserve">Turn the flat form into a designed workspace and surface each application's real folder files in-app.</w:t>
      </w:r>
    </w:p>
    <w:p>
      <w:pPr>
        <w:pStyle w:val="Heading2"/>
        <w:spacing w:after="110" w:before="230"/>
      </w:pPr>
      <w:r>
        <w:rPr>
          <w:rFonts w:ascii="Georgia" w:cs="Georgia" w:eastAsia="Georgia" w:hAnsi="Georgia"/>
          <w:b/>
          <w:bCs/>
          <w:color w:val="1A1A17"/>
          <w:sz w:val="23"/>
          <w:szCs w:val="23"/>
        </w:rPr>
        <w:t xml:space="preserve">4.1  Master-resume manage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Note: the master resume </w:t>
      </w:r>
      <w:r>
        <w:rPr>
          <w:rFonts w:ascii="Calibri" w:cs="Calibri" w:eastAsia="Calibri" w:hAnsi="Calibri"/>
          <w:b/>
          <w:bCs/>
          <w:i w:val="false"/>
          <w:iCs w:val="false"/>
          <w:color w:val="1A1A17"/>
          <w:sz w:val="21"/>
          <w:szCs w:val="21"/>
        </w:rPr>
        <w:t xml:space="preserve">relocates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to the Profile page in Phase 2, which is built earlier in this plan — that page owns the remove/replace affordance, so this item is mostly covered there. Just ensure a "Remove resume" control exists, shown only when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config.masterResume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is non-empty, mirroring the API-key Remove buttons.</w:t>
      </w:r>
    </w:p>
    <w:p>
      <w:pPr>
        <w:pStyle w:val="Heading2"/>
        <w:spacing w:after="110" w:before="230"/>
      </w:pPr>
      <w:r>
        <w:rPr>
          <w:rFonts w:ascii="Georgia" w:cs="Georgia" w:eastAsia="Georgia" w:hAnsi="Georgia"/>
          <w:b/>
          <w:bCs/>
          <w:color w:val="1A1A17"/>
          <w:sz w:val="23"/>
          <w:szCs w:val="23"/>
        </w:rPr>
        <w:t xml:space="preserve">4.2  Redesigned, sectioned application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E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C4A30"/>
                <w:sz w:val="17"/>
                <w:szCs w:val="17"/>
              </w:rPr>
              <w:t xml:space="preserve">Build</w:t>
            </w:r>
          </w:p>
        </w:tc>
        <w:tc>
          <w:tcPr>
            <w:tcW w:type="dxa" w:w="761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E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Group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openAppForm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 fields into sections: Role &amp; Company / Timeline / Documents / Notes. Same fields, same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saveAppForm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 logic, restructured markup + styling.</w:t>
            </w:r>
          </w:p>
        </w:tc>
      </w:tr>
      <w:tr>
        <w:tc>
          <w:tcPr>
            <w:tcW w:type="dxa" w:w="175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C4A30"/>
                <w:sz w:val="17"/>
                <w:szCs w:val="17"/>
              </w:rPr>
              <w:t xml:space="preserve">Pitfall</w:t>
            </w:r>
          </w:p>
        </w:tc>
        <w:tc>
          <w:tcPr>
            <w:tcW w:type="dxa" w:w="761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Re-verify listener rebinding after markup change (render/rebind model).</w:t>
            </w:r>
          </w:p>
        </w:tc>
      </w:tr>
    </w:tbl>
    <w:p>
      <w:pPr>
        <w:pStyle w:val="Heading2"/>
        <w:spacing w:after="110" w:before="230"/>
      </w:pPr>
      <w:r>
        <w:rPr>
          <w:rFonts w:ascii="Georgia" w:cs="Georgia" w:eastAsia="Georgia" w:hAnsi="Georgia"/>
          <w:b/>
          <w:bCs/>
          <w:color w:val="1A1A17"/>
          <w:sz w:val="23"/>
          <w:szCs w:val="23"/>
        </w:rPr>
        <w:t xml:space="preserve">4.3  In-app document panel (the honest version)</w:t>
      </w:r>
    </w:p>
    <w:p>
      <w:pPr>
        <w:pBdr>
          <w:left w:val="single" w:color="B07D2A" w:sz="18" w:space="12"/>
        </w:pBdr>
        <w:shd w:fill="F7EFE3" w:val="clear"/>
        <w:spacing w:after="140" w:line="274"/>
      </w:pPr>
      <w:r>
        <w:rPr>
          <w:rFonts w:ascii="Calibri" w:cs="Calibri" w:eastAsia="Calibri" w:hAnsi="Calibri"/>
          <w:b/>
          <w:bCs/>
          <w:color w:val="B07D2A"/>
          <w:sz w:val="19"/>
          <w:szCs w:val="19"/>
        </w:rPr>
        <w:t xml:space="preserve">Reality check:  </w:t>
      </w:r>
      <w:r>
        <w:rPr>
          <w:rFonts w:ascii="Calibri" w:cs="Calibri" w:eastAsia="Calibri" w:hAnsi="Calibri"/>
          <w:i/>
          <w:iCs/>
          <w:color w:val="1A1A17"/>
          <w:sz w:val="19"/>
          <w:szCs w:val="19"/>
        </w:rPr>
        <w:t xml:space="preserve">A file:// page cannot launch a file in its native OS app. "Click → Word opens" is a Pro-tier feature, not Lite. Lite ships what the sandbox allows. NOTE: Phase 2's application.json makes the *text* (JD, resume, letter) viewable inline far more easily than reading binary files — prefer that path for text; use this panel for listing/previewing the actual .docx/.pdf files that get emailed.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List folder files via the directory handle (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for await (const [name,h] of dir.entries())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) in the Documents section.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Preview: read via handle; .docx through vendored mammoth, .pdf through pdf.js (logic already in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extractResumeFromFile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Download the exact file, or copy the folder path.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Chrome/Edge only; gate behind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State.dirHandle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; degrade with a hint on Safari. Async listing inside sync render → populate the list </w:t>
      </w:r>
      <w:r>
        <w:rPr>
          <w:rFonts w:ascii="Calibri" w:cs="Calibri" w:eastAsia="Calibri" w:hAnsi="Calibri"/>
          <w:b w:val="false"/>
          <w:bCs w:val="false"/>
          <w:i/>
          <w:iCs/>
          <w:color w:val="1A1A17"/>
          <w:sz w:val="21"/>
          <w:szCs w:val="21"/>
        </w:rPr>
        <w:t xml:space="preserve">after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the row renders (the trick the Settings export-status text already uses).</w:t>
      </w:r>
    </w:p>
    <w:p>
      <w:pPr>
        <w:pStyle w:val="Heading3"/>
        <w:spacing w:after="70" w:before="150"/>
      </w:pPr>
      <w:r>
        <w:rPr>
          <w:rFonts w:ascii="Georgia" w:cs="Georgia" w:eastAsia="Georgia" w:hAnsi="Georgia"/>
          <w:b/>
          <w:bCs/>
          <w:color w:val="A9745A"/>
          <w:sz w:val="20"/>
          <w:szCs w:val="20"/>
        </w:rPr>
        <w:t xml:space="preserve">Exit criteria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Resume removable; form reads as designed; Chrome/Edge lists + previews folder files; Safari degrades gracefully.</w:t>
      </w:r>
    </w:p>
    <w:p>
      <w:r>
        <w:br w:type="page"/>
      </w:r>
    </w:p>
    <w:p>
      <w:pPr>
        <w:pStyle w:val="Heading1"/>
        <w:pBdr>
          <w:bottom w:val="single" w:color="7C4A30" w:sz="8" w:space="6"/>
        </w:pBdr>
        <w:spacing w:after="150" w:before="300"/>
      </w:pPr>
      <w:r>
        <w:rPr>
          <w:rFonts w:ascii="Georgia" w:cs="Georgia" w:eastAsia="Georgia" w:hAnsi="Georgia"/>
          <w:b/>
          <w:bCs/>
          <w:color w:val="7C4A30"/>
          <w:sz w:val="29"/>
          <w:szCs w:val="29"/>
        </w:rPr>
        <w:t xml:space="preserve">Phase 5.  AI council depth &amp; analytics</w:t>
      </w:r>
    </w:p>
    <w:p>
      <w:pPr>
        <w:pBdr>
          <w:left w:val="single" w:color="7C4A30" w:sz="18" w:space="12"/>
        </w:pBdr>
        <w:shd w:fill="EFEAE0" w:val="clear"/>
        <w:spacing w:after="140" w:line="274"/>
      </w:pPr>
      <w:r>
        <w:rPr>
          <w:rFonts w:ascii="Calibri" w:cs="Calibri" w:eastAsia="Calibri" w:hAnsi="Calibri"/>
          <w:b/>
          <w:bCs/>
          <w:color w:val="7C4A30"/>
          <w:sz w:val="19"/>
          <w:szCs w:val="19"/>
        </w:rPr>
        <w:t xml:space="preserve">Goal:  </w:t>
      </w:r>
      <w:r>
        <w:rPr>
          <w:rFonts w:ascii="Calibri" w:cs="Calibri" w:eastAsia="Calibri" w:hAnsi="Calibri"/>
          <w:i/>
          <w:iCs/>
          <w:color w:val="1A1A17"/>
          <w:sz w:val="19"/>
          <w:szCs w:val="19"/>
        </w:rPr>
        <w:t xml:space="preserve">Deepen analytics and the council. Contains the one meaningful data-shape change besides Phase 1/2 — plan the migration deliberately.</w:t>
      </w:r>
    </w:p>
    <w:p>
      <w:pPr>
        <w:pStyle w:val="Heading2"/>
        <w:spacing w:after="110" w:before="230"/>
      </w:pPr>
      <w:r>
        <w:rPr>
          <w:rFonts w:ascii="Georgia" w:cs="Georgia" w:eastAsia="Georgia" w:hAnsi="Georgia"/>
          <w:b/>
          <w:bCs/>
          <w:color w:val="1A1A17"/>
          <w:sz w:val="23"/>
          <w:szCs w:val="23"/>
        </w:rPr>
        <w:t xml:space="preserve">5.1  Time-in-stage + trend analytics  (adds statusHistory)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E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C4A30"/>
                <w:sz w:val="17"/>
                <w:szCs w:val="17"/>
              </w:rPr>
              <w:t xml:space="preserve">Build</w:t>
            </w:r>
          </w:p>
        </w:tc>
        <w:tc>
          <w:tcPr>
            <w:tcW w:type="dxa" w:w="761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E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Average time-in-stage (where apps stall) + a weekly trend sparkline (inline SVG, no charting lib). Compute in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computeStats()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.</w:t>
            </w:r>
          </w:p>
        </w:tc>
      </w:tr>
      <w:tr>
        <w:tc>
          <w:tcPr>
            <w:tcW w:type="dxa" w:w="175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C4A30"/>
                <w:sz w:val="17"/>
                <w:szCs w:val="17"/>
              </w:rPr>
              <w:t xml:space="preserve">Schema</w:t>
            </w:r>
          </w:p>
        </w:tc>
        <w:tc>
          <w:tcPr>
            <w:tcW w:type="dxa" w:w="761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Add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statusHistory:[{status,ts}]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 to applications. Record an entry on every status change in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moveCard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 and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saveAppForm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. Bump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schemaVersion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; migration leaves historical apps with empty history → analytics show "—" until they next move.</w:t>
            </w:r>
          </w:p>
        </w:tc>
      </w:tr>
      <w:tr>
        <w:tc>
          <w:tcPr>
            <w:tcW w:type="dxa" w:w="175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E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C4A30"/>
                <w:sz w:val="17"/>
                <w:szCs w:val="17"/>
              </w:rPr>
              <w:t xml:space="preserve">Note</w:t>
            </w:r>
          </w:p>
        </w:tc>
        <w:tc>
          <w:tcPr>
            <w:tcW w:type="dxa" w:w="761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E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Data sizes are tiny (hundreds of records) — plain JS reductions are instant; no SQLite needed (see §Appendix A).</w:t>
            </w:r>
          </w:p>
        </w:tc>
      </w:tr>
    </w:tbl>
    <w:p>
      <w:pPr>
        <w:pStyle w:val="Heading2"/>
        <w:spacing w:after="110" w:before="230"/>
      </w:pPr>
      <w:r>
        <w:rPr>
          <w:rFonts w:ascii="Georgia" w:cs="Georgia" w:eastAsia="Georgia" w:hAnsi="Georgia"/>
          <w:b/>
          <w:bCs/>
          <w:color w:val="1A1A17"/>
          <w:sz w:val="23"/>
          <w:szCs w:val="23"/>
        </w:rPr>
        <w:t xml:space="preserve">5.2  Council polish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Keep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GEMINI_MODELS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current; show a clear message when the whole fallback chain is exhausted.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Persist last tailoring result per application — </w:t>
      </w:r>
      <w:r>
        <w:rPr>
          <w:rFonts w:ascii="Calibri" w:cs="Calibri" w:eastAsia="Calibri" w:hAnsi="Calibri"/>
          <w:b/>
          <w:bCs/>
          <w:i w:val="false"/>
          <w:iCs w:val="false"/>
          <w:color w:val="1A1A17"/>
          <w:sz w:val="21"/>
          <w:szCs w:val="21"/>
        </w:rPr>
        <w:t xml:space="preserve">merges with Phase 2's application.json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(write results there; restore on reopen). Build this alongside Phase 2's application.json if doing both.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Note the merge-needs-Gemini-key limitation in the UI.</w:t>
      </w:r>
    </w:p>
    <w:p>
      <w:pPr>
        <w:pStyle w:val="Heading3"/>
        <w:spacing w:after="70" w:before="150"/>
      </w:pPr>
      <w:r>
        <w:rPr>
          <w:rFonts w:ascii="Georgia" w:cs="Georgia" w:eastAsia="Georgia" w:hAnsi="Georgia"/>
          <w:b/>
          <w:bCs/>
          <w:color w:val="A9745A"/>
          <w:sz w:val="20"/>
          <w:szCs w:val="20"/>
        </w:rPr>
        <w:t xml:space="preserve">Exit criteria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Dashboard shows time-in-stage + weekly trend; status moves are timestamped; reopening a tailored app restores its result.</w:t>
      </w:r>
    </w:p>
    <w:p>
      <w:r>
        <w:br w:type="page"/>
      </w:r>
    </w:p>
    <w:p>
      <w:pPr>
        <w:pStyle w:val="Heading1"/>
        <w:pBdr>
          <w:bottom w:val="single" w:color="7C4A30" w:sz="8" w:space="6"/>
        </w:pBdr>
        <w:spacing w:after="150" w:before="300"/>
      </w:pPr>
      <w:r>
        <w:rPr>
          <w:rFonts w:ascii="Georgia" w:cs="Georgia" w:eastAsia="Georgia" w:hAnsi="Georgia"/>
          <w:b/>
          <w:bCs/>
          <w:color w:val="7C4A30"/>
          <w:sz w:val="29"/>
          <w:szCs w:val="29"/>
        </w:rPr>
        <w:t xml:space="preserve">Phase 6.  Presentation &amp; onboarding</w:t>
      </w:r>
    </w:p>
    <w:p>
      <w:pPr>
        <w:pBdr>
          <w:left w:val="single" w:color="7C4A30" w:sz="18" w:space="12"/>
        </w:pBdr>
        <w:shd w:fill="EFEAE0" w:val="clear"/>
        <w:spacing w:after="140" w:line="274"/>
      </w:pPr>
      <w:r>
        <w:rPr>
          <w:rFonts w:ascii="Calibri" w:cs="Calibri" w:eastAsia="Calibri" w:hAnsi="Calibri"/>
          <w:b/>
          <w:bCs/>
          <w:color w:val="7C4A30"/>
          <w:sz w:val="19"/>
          <w:szCs w:val="19"/>
        </w:rPr>
        <w:t xml:space="preserve">Goal:  </w:t>
      </w:r>
      <w:r>
        <w:rPr>
          <w:rFonts w:ascii="Calibri" w:cs="Calibri" w:eastAsia="Calibri" w:hAnsi="Calibri"/>
          <w:i/>
          <w:iCs/>
          <w:color w:val="1A1A17"/>
          <w:sz w:val="19"/>
          <w:szCs w:val="19"/>
        </w:rPr>
        <w:t xml:space="preserve">Win the first-run impression. Highest polish-per-hour, lowest risk — the finishing pass.</w:t>
      </w:r>
    </w:p>
    <w:p>
      <w:pPr>
        <w:pStyle w:val="Heading2"/>
        <w:spacing w:after="110" w:before="230"/>
      </w:pPr>
      <w:r>
        <w:rPr>
          <w:rFonts w:ascii="Georgia" w:cs="Georgia" w:eastAsia="Georgia" w:hAnsi="Georgia"/>
          <w:b/>
          <w:bCs/>
          <w:color w:val="1A1A17"/>
          <w:sz w:val="23"/>
          <w:szCs w:val="23"/>
        </w:rPr>
        <w:t xml:space="preserve">6.1  Dark theme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E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C4A30"/>
                <w:sz w:val="17"/>
                <w:szCs w:val="17"/>
              </w:rPr>
              <w:t xml:space="preserve">Build</w:t>
            </w:r>
          </w:p>
        </w:tc>
        <w:tc>
          <w:tcPr>
            <w:tcW w:type="dxa" w:w="761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E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Second variable set behind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[data-theme="dark"]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. CSS is already token-based (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--ink,--paper,--seal…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). Aim for a "candlelit ledger" variant, not generic gray.</w:t>
            </w:r>
          </w:p>
        </w:tc>
      </w:tr>
      <w:tr>
        <w:tc>
          <w:tcPr>
            <w:tcW w:type="dxa" w:w="175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C4A30"/>
                <w:sz w:val="17"/>
                <w:szCs w:val="17"/>
              </w:rPr>
              <w:t xml:space="preserve">Persist</w:t>
            </w:r>
          </w:p>
        </w:tc>
        <w:tc>
          <w:tcPr>
            <w:tcW w:type="dxa" w:w="761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Store choice in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config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; honor 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prefers-color-scheme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 on first run; expose a toggle (also a command-palette action).</w:t>
            </w:r>
          </w:p>
        </w:tc>
      </w:tr>
      <w:tr>
        <w:tc>
          <w:tcPr>
            <w:tcW w:type="dxa" w:w="175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E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C4A30"/>
                <w:sz w:val="17"/>
                <w:szCs w:val="17"/>
              </w:rPr>
              <w:t xml:space="preserve">Pitfall</w:t>
            </w:r>
          </w:p>
        </w:tc>
        <w:tc>
          <w:tcPr>
            <w:tcW w:type="dxa" w:w="761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EF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Audit every hard-coded color + the inline-styled SVG seal states (</w:t>
            </w:r>
            <w:r>
              <w:rPr>
                <w:rFonts w:ascii="Consolas" w:cs="Consolas" w:eastAsia="Consolas" w:hAnsi="Consolas"/>
                <w:color w:val="7C4A30"/>
                <w:sz w:val="18"/>
                <w:szCs w:val="18"/>
              </w:rPr>
              <w:t xml:space="preserve">.seal-dot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7"/>
                <w:sz w:val="21"/>
                <w:szCs w:val="21"/>
              </w:rPr>
              <w:t xml:space="preserve"> gradients) for token coverage.</w:t>
            </w:r>
          </w:p>
        </w:tc>
      </w:tr>
    </w:tbl>
    <w:p>
      <w:pPr>
        <w:pStyle w:val="Heading2"/>
        <w:spacing w:after="110" w:before="230"/>
      </w:pPr>
      <w:r>
        <w:rPr>
          <w:rFonts w:ascii="Georgia" w:cs="Georgia" w:eastAsia="Georgia" w:hAnsi="Georgia"/>
          <w:b/>
          <w:bCs/>
          <w:color w:val="1A1A17"/>
          <w:sz w:val="23"/>
          <w:szCs w:val="23"/>
        </w:rPr>
        <w:t xml:space="preserve">6.2  First-run onboarding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Detect empty/unconnected state; show a dismissible step sequence: connect folder → add resume (Profile) → add first application. A few conditional panels, no tour library.</w:t>
      </w:r>
    </w:p>
    <w:p>
      <w:pPr>
        <w:pStyle w:val="Heading2"/>
        <w:spacing w:after="110" w:before="230"/>
      </w:pPr>
      <w:r>
        <w:rPr>
          <w:rFonts w:ascii="Georgia" w:cs="Georgia" w:eastAsia="Georgia" w:hAnsi="Georgia"/>
          <w:b/>
          <w:bCs/>
          <w:color w:val="1A1A17"/>
          <w:sz w:val="23"/>
          <w:szCs w:val="23"/>
        </w:rPr>
        <w:t xml:space="preserve">6.3  Empty-state polish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Replace italic one-liners with helpful, on-brand empty states across Dashboard, Applications, Pipeline, Companies.</w:t>
      </w:r>
    </w:p>
    <w:p>
      <w:pPr>
        <w:pStyle w:val="Heading3"/>
        <w:spacing w:after="70" w:before="150"/>
      </w:pPr>
      <w:r>
        <w:rPr>
          <w:rFonts w:ascii="Georgia" w:cs="Georgia" w:eastAsia="Georgia" w:hAnsi="Georgia"/>
          <w:b/>
          <w:bCs/>
          <w:color w:val="A9745A"/>
          <w:sz w:val="20"/>
          <w:szCs w:val="20"/>
        </w:rPr>
        <w:t xml:space="preserve">Exit criteria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Dark theme covers every surface, choice persists; a brand-new user is guided from zero to first application.</w:t>
      </w:r>
    </w:p>
    <w:p>
      <w:r>
        <w:br w:type="page"/>
      </w:r>
    </w:p>
    <w:p>
      <w:pPr>
        <w:pStyle w:val="Heading1"/>
        <w:pBdr>
          <w:bottom w:val="single" w:color="7C4A30" w:sz="8" w:space="6"/>
        </w:pBdr>
        <w:spacing w:after="150" w:before="300"/>
      </w:pPr>
      <w:r>
        <w:rPr>
          <w:rFonts w:ascii="Georgia" w:cs="Georgia" w:eastAsia="Georgia" w:hAnsi="Georgia"/>
          <w:b/>
          <w:bCs/>
          <w:color w:val="7C4A30"/>
          <w:sz w:val="29"/>
          <w:szCs w:val="29"/>
        </w:rPr>
        <w:t xml:space="preserve">Appendix A.  Data-layer decision (SQLite/WASM) — deferred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Recorded so it is not re-litigated. Velae stays on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data.json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as both runtime store and interchange contract. In-browser SQLite/WASM was evaluated and </w:t>
      </w:r>
      <w:r>
        <w:rPr>
          <w:rFonts w:ascii="Calibri" w:cs="Calibri" w:eastAsia="Calibri" w:hAnsi="Calibri"/>
          <w:b/>
          <w:bCs/>
          <w:i w:val="false"/>
          <w:iCs w:val="false"/>
          <w:color w:val="1A1A17"/>
          <w:sz w:val="21"/>
          <w:szCs w:val="21"/>
        </w:rPr>
        <w:t xml:space="preserve">deferred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It solves a </w:t>
      </w:r>
      <w:r>
        <w:rPr>
          <w:rFonts w:ascii="Calibri" w:cs="Calibri" w:eastAsia="Calibri" w:hAnsi="Calibri"/>
          <w:b w:val="false"/>
          <w:bCs w:val="false"/>
          <w:i/>
          <w:iCs/>
          <w:color w:val="1A1A17"/>
          <w:sz w:val="21"/>
          <w:szCs w:val="21"/>
        </w:rPr>
        <w:t xml:space="preserve">scale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problem Velae does not have (hundreds of records, not thousands), at the cost of rewriting the data spine (everything reads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State.data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) and complicating the cross-tier contract.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The native-OS capability that defines Pro (open a file in Word) is impossible in any in-browser engine regardless — the browser sandbox forbids it. So SQLite could only ever strengthen the </w:t>
      </w:r>
      <w:r>
        <w:rPr>
          <w:rFonts w:ascii="Calibri" w:cs="Calibri" w:eastAsia="Calibri" w:hAnsi="Calibri"/>
          <w:b w:val="false"/>
          <w:bCs w:val="false"/>
          <w:i/>
          <w:iCs/>
          <w:color w:val="1A1A17"/>
          <w:sz w:val="21"/>
          <w:szCs w:val="21"/>
        </w:rPr>
        <w:t xml:space="preserve">client-side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store, never become "Pro."</w:t>
      </w:r>
    </w:p>
    <w:p>
      <w:pPr>
        <w:pBdr>
          <w:left w:val="single" w:color="B07D2A" w:sz="18" w:space="12"/>
        </w:pBdr>
        <w:shd w:fill="F7EFE3" w:val="clear"/>
        <w:spacing w:after="140" w:line="274"/>
      </w:pPr>
      <w:r>
        <w:rPr>
          <w:rFonts w:ascii="Calibri" w:cs="Calibri" w:eastAsia="Calibri" w:hAnsi="Calibri"/>
          <w:b/>
          <w:bCs/>
          <w:color w:val="B07D2A"/>
          <w:sz w:val="19"/>
          <w:szCs w:val="19"/>
        </w:rPr>
        <w:t xml:space="preserve">Revisit trigger:  </w:t>
      </w:r>
      <w:r>
        <w:rPr>
          <w:rFonts w:ascii="Calibri" w:cs="Calibri" w:eastAsia="Calibri" w:hAnsi="Calibri"/>
          <w:i/>
          <w:iCs/>
          <w:color w:val="1A1A17"/>
          <w:sz w:val="19"/>
          <w:szCs w:val="19"/>
        </w:rPr>
        <w:t xml:space="preserve">Only if a real user hits a real wall (e.g. thousands of applications making filter/sort visibly laggy). Preferred shape then: SQLite as a NON-authoritative query accelerator built from data.json, with data.json still the source of truth (preserves the contract). Do not make it the runtime store.</w:t>
      </w:r>
    </w:p>
    <w:p>
      <w:pPr>
        <w:pStyle w:val="Heading2"/>
        <w:spacing w:after="110" w:before="230"/>
      </w:pPr>
      <w:r>
        <w:rPr>
          <w:rFonts w:ascii="Georgia" w:cs="Georgia" w:eastAsia="Georgia" w:hAnsi="Georgia"/>
          <w:b/>
          <w:bCs/>
          <w:color w:val="1A1A17"/>
          <w:sz w:val="23"/>
          <w:szCs w:val="23"/>
        </w:rPr>
        <w:t xml:space="preserve">Appendix B.  Three-door model (context only — not this scope)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For orientation. All three serve the </w:t>
      </w:r>
      <w:r>
        <w:rPr>
          <w:rFonts w:ascii="Calibri" w:cs="Calibri" w:eastAsia="Calibri" w:hAnsi="Calibri"/>
          <w:b/>
          <w:bCs/>
          <w:i w:val="false"/>
          <w:iCs w:val="false"/>
          <w:color w:val="1A1A17"/>
          <w:sz w:val="21"/>
          <w:szCs w:val="21"/>
        </w:rPr>
        <w:t xml:space="preserve">same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frontend; they differ only in where code runs and whether a data-holding server exists: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17"/>
          <w:sz w:val="21"/>
          <w:szCs w:val="21"/>
        </w:rPr>
        <w:t xml:space="preserve">Velae Lite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—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file://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, no backend, data in local folder. (This plan.)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17"/>
          <w:sz w:val="21"/>
          <w:szCs w:val="21"/>
        </w:rPr>
        <w:t xml:space="preserve">Velae Web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— same files static-hosted over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https://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; still no backend; data still local via File System Access API. A future deployment of the SAME Lite code.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17"/>
          <w:sz w:val="21"/>
          <w:szCs w:val="21"/>
        </w:rPr>
        <w:t xml:space="preserve">Velae Pro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— served by a backend on the USER's own machine (Echo-style local server); unlocks native file-open + optional real DB. Privacy intact because the server is the user's, not the operator's.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Versioning: name is identity, versions independent. Lite continues v1.x; Pro starts its own v1.0 when built.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data.json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is the interchange format all three speak.</w:t>
      </w:r>
    </w:p>
    <w:p>
      <w:pPr>
        <w:pStyle w:val="Heading2"/>
        <w:spacing w:after="110" w:before="230"/>
      </w:pPr>
      <w:r>
        <w:rPr>
          <w:rFonts w:ascii="Georgia" w:cs="Georgia" w:eastAsia="Georgia" w:hAnsi="Georgia"/>
          <w:b/>
          <w:bCs/>
          <w:color w:val="1A1A17"/>
          <w:sz w:val="23"/>
          <w:szCs w:val="23"/>
        </w:rPr>
        <w:t xml:space="preserve">Appendix C. 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760"/>
        <w:gridCol w:w="2600"/>
      </w:tblGrid>
      <w:tr>
        <w:trPr>
          <w:tblHeader/>
        </w:trPr>
        <w:tc>
          <w:tcPr>
            <w:tcW w:type="dxa" w:w="3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7C4A30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7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7C4A30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Principal risk</w:t>
            </w:r>
          </w:p>
        </w:tc>
        <w:tc>
          <w:tcPr>
            <w:tcW w:type="dxa" w:w="26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7C4A30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1A1A17"/>
                <w:sz w:val="18"/>
                <w:szCs w:val="18"/>
              </w:rPr>
              <w:t xml:space="preserve">Pre-work paths</w:t>
            </w:r>
          </w:p>
        </w:tc>
        <w:tc>
          <w:tcPr>
            <w:tcW w:type="dxa" w:w="37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1A1A17"/>
                <w:sz w:val="18"/>
                <w:szCs w:val="18"/>
              </w:rPr>
              <w:t xml:space="preserve">Broken asset/vendor paths after move</w:t>
            </w:r>
          </w:p>
        </w:tc>
        <w:tc>
          <w:tcPr>
            <w:tcW w:type="dxa" w:w="26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1A1A17"/>
                <w:sz w:val="18"/>
                <w:szCs w:val="18"/>
              </w:rPr>
              <w:t xml:space="preserve">Ship rename+move alone; test load</w:t>
            </w:r>
          </w:p>
        </w:tc>
      </w:tr>
      <w:tr>
        <w:tc>
          <w:tcPr>
            <w:tcW w:type="dxa" w:w="3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1A1A17"/>
                <w:sz w:val="18"/>
                <w:szCs w:val="18"/>
              </w:rPr>
              <w:t xml:space="preserve">1.1 Undo</w:t>
            </w:r>
          </w:p>
        </w:tc>
        <w:tc>
          <w:tcPr>
            <w:tcW w:type="dxa" w:w="37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1A1A17"/>
                <w:sz w:val="18"/>
                <w:szCs w:val="18"/>
              </w:rPr>
              <w:t xml:space="preserve">Shallow snapshots</w:t>
            </w:r>
          </w:p>
        </w:tc>
        <w:tc>
          <w:tcPr>
            <w:tcW w:type="dxa" w:w="26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1A1A17"/>
                <w:sz w:val="18"/>
                <w:szCs w:val="18"/>
              </w:rPr>
              <w:t xml:space="preserve">structuredClone; cap buffer</w:t>
            </w:r>
          </w:p>
        </w:tc>
      </w:tr>
      <w:tr>
        <w:tc>
          <w:tcPr>
            <w:tcW w:type="dxa" w:w="3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1A1A17"/>
                <w:sz w:val="18"/>
                <w:szCs w:val="18"/>
              </w:rPr>
              <w:t xml:space="preserve">1.2 Repair</w:t>
            </w:r>
          </w:p>
        </w:tc>
        <w:tc>
          <w:tcPr>
            <w:tcW w:type="dxa" w:w="37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1A1A17"/>
                <w:sz w:val="18"/>
                <w:szCs w:val="18"/>
              </w:rPr>
              <w:t xml:space="preserve">Repairs mutate data</w:t>
            </w:r>
          </w:p>
        </w:tc>
        <w:tc>
          <w:tcPr>
            <w:tcW w:type="dxa" w:w="26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1A1A17"/>
                <w:sz w:val="18"/>
                <w:szCs w:val="18"/>
              </w:rPr>
              <w:t xml:space="preserve">Route through undo</w:t>
            </w:r>
          </w:p>
        </w:tc>
      </w:tr>
      <w:tr>
        <w:tc>
          <w:tcPr>
            <w:tcW w:type="dxa" w:w="3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1A1A17"/>
                <w:sz w:val="18"/>
                <w:szCs w:val="18"/>
              </w:rPr>
              <w:t xml:space="preserve">1.3 / 3.3 parsers</w:t>
            </w:r>
          </w:p>
        </w:tc>
        <w:tc>
          <w:tcPr>
            <w:tcW w:type="dxa" w:w="37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1A1A17"/>
                <w:sz w:val="18"/>
                <w:szCs w:val="18"/>
              </w:rPr>
              <w:t xml:space="preserve">CSV / ICS edge cases</w:t>
            </w:r>
          </w:p>
        </w:tc>
        <w:tc>
          <w:tcPr>
            <w:tcW w:type="dxa" w:w="26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1A1A17"/>
                <w:sz w:val="18"/>
                <w:szCs w:val="18"/>
              </w:rPr>
              <w:t xml:space="preserve">Unit tests; preview before commit</w:t>
            </w:r>
          </w:p>
        </w:tc>
      </w:tr>
      <w:tr>
        <w:tc>
          <w:tcPr>
            <w:tcW w:type="dxa" w:w="3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1A1A17"/>
                <w:sz w:val="18"/>
                <w:szCs w:val="18"/>
              </w:rPr>
              <w:t xml:space="preserve">4.3 Doc panel</w:t>
            </w:r>
          </w:p>
        </w:tc>
        <w:tc>
          <w:tcPr>
            <w:tcW w:type="dxa" w:w="37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1A1A17"/>
                <w:sz w:val="18"/>
                <w:szCs w:val="18"/>
              </w:rPr>
              <w:t xml:space="preserve">Async in sync render</w:t>
            </w:r>
          </w:p>
        </w:tc>
        <w:tc>
          <w:tcPr>
            <w:tcW w:type="dxa" w:w="26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1A1A17"/>
                <w:sz w:val="18"/>
                <w:szCs w:val="18"/>
              </w:rPr>
              <w:t xml:space="preserve">Populate post-render</w:t>
            </w:r>
          </w:p>
        </w:tc>
      </w:tr>
      <w:tr>
        <w:tc>
          <w:tcPr>
            <w:tcW w:type="dxa" w:w="3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1A1A17"/>
                <w:sz w:val="18"/>
                <w:szCs w:val="18"/>
              </w:rPr>
              <w:t xml:space="preserve">5.1 statusHistory</w:t>
            </w:r>
          </w:p>
        </w:tc>
        <w:tc>
          <w:tcPr>
            <w:tcW w:type="dxa" w:w="37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1A1A17"/>
                <w:sz w:val="18"/>
                <w:szCs w:val="18"/>
              </w:rPr>
              <w:t xml:space="preserve">Schema change</w:t>
            </w:r>
          </w:p>
        </w:tc>
        <w:tc>
          <w:tcPr>
            <w:tcW w:type="dxa" w:w="26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1A1A17"/>
                <w:sz w:val="18"/>
                <w:szCs w:val="18"/>
              </w:rPr>
              <w:t xml:space="preserve">Migration + "—" fallback</w:t>
            </w:r>
          </w:p>
        </w:tc>
      </w:tr>
      <w:tr>
        <w:tc>
          <w:tcPr>
            <w:tcW w:type="dxa" w:w="3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1A1A17"/>
                <w:sz w:val="18"/>
                <w:szCs w:val="18"/>
              </w:rPr>
              <w:t xml:space="preserve">6.1 Dark theme</w:t>
            </w:r>
          </w:p>
        </w:tc>
        <w:tc>
          <w:tcPr>
            <w:tcW w:type="dxa" w:w="37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1A1A17"/>
                <w:sz w:val="18"/>
                <w:szCs w:val="18"/>
              </w:rPr>
              <w:t xml:space="preserve">Hard-coded colors / SVG seal</w:t>
            </w:r>
          </w:p>
        </w:tc>
        <w:tc>
          <w:tcPr>
            <w:tcW w:type="dxa" w:w="26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7F5E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1A1A17"/>
                <w:sz w:val="18"/>
                <w:szCs w:val="18"/>
              </w:rPr>
              <w:t xml:space="preserve">Token-coverage audit</w:t>
            </w:r>
          </w:p>
        </w:tc>
      </w:tr>
      <w:tr>
        <w:tc>
          <w:tcPr>
            <w:tcW w:type="dxa" w:w="3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1A1A17"/>
                <w:sz w:val="18"/>
                <w:szCs w:val="18"/>
              </w:rPr>
              <w:t xml:space="preserve">2.x schema</w:t>
            </w:r>
          </w:p>
        </w:tc>
        <w:tc>
          <w:tcPr>
            <w:tcW w:type="dxa" w:w="37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1A1A17"/>
                <w:sz w:val="18"/>
                <w:szCs w:val="18"/>
              </w:rPr>
              <w:t xml:space="preserve">Two shape changes (profile + app.json)</w:t>
            </w:r>
          </w:p>
        </w:tc>
        <w:tc>
          <w:tcPr>
            <w:tcW w:type="dxa" w:w="26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1A1A17"/>
                <w:sz w:val="18"/>
                <w:szCs w:val="18"/>
              </w:rPr>
              <w:t xml:space="preserve">Reuse P1 migration framework</w:t>
            </w:r>
          </w:p>
        </w:tc>
      </w:tr>
    </w:tbl>
    <w:p>
      <w:pPr>
        <w:pStyle w:val="Heading2"/>
        <w:spacing w:after="110" w:before="230"/>
      </w:pPr>
      <w:r>
        <w:rPr>
          <w:rFonts w:ascii="Georgia" w:cs="Georgia" w:eastAsia="Georgia" w:hAnsi="Georgia"/>
          <w:b/>
          <w:bCs/>
          <w:color w:val="1A1A17"/>
          <w:sz w:val="23"/>
          <w:szCs w:val="23"/>
        </w:rPr>
        <w:t xml:space="preserve">Appendix D.  Testing approach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No test framework ships (architecture.md §12). Practical checks: (1) formalize Node-stub scripts into a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test/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folder (kept OUT of the shipped folder) for pure logic — stats math, the CSV parser, the ICS generator, each migration; (2) per phase, open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index.html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in Chrome, connect a folder, exercise the changed view, watch the console; (3) test the Safari manual-save path for anything gating on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State.dirHandle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; (4) after the Phase 1 / 2 / 5 migrations, load a pre-migration </w:t>
      </w:r>
      <w:r>
        <w:rPr>
          <w:rFonts w:ascii="Consolas" w:cs="Consolas" w:eastAsia="Consolas" w:hAnsi="Consolas"/>
          <w:color w:val="7C4A30"/>
          <w:sz w:val="18"/>
          <w:szCs w:val="18"/>
        </w:rPr>
        <w:t xml:space="preserve">data.json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7"/>
          <w:sz w:val="21"/>
          <w:szCs w:val="21"/>
        </w:rPr>
        <w:t xml:space="preserve"> and confirm clean upgrade + no data loss.</w:t>
      </w:r>
    </w:p>
    <w:p>
      <w:pPr>
        <w:spacing w:after="80"/>
      </w:pPr>
    </w:p>
    <w:p>
      <w:pPr>
        <w:spacing w:before="180"/>
        <w:jc w:val="center"/>
      </w:pPr>
      <w:r>
        <w:rPr>
          <w:rFonts w:ascii="Georgia" w:cs="Georgia" w:eastAsia="Georgia" w:hAnsi="Georgia"/>
          <w:i/>
          <w:iCs/>
          <w:color w:val="6B6459"/>
          <w:sz w:val="19"/>
          <w:szCs w:val="19"/>
        </w:rPr>
        <w:t xml:space="preserve">— End of plan —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459"/>
        <w:sz w:val="16"/>
        <w:szCs w:val="16"/>
      </w:rPr>
      <w:t xml:space="preserve">Page </w:t>
    </w:r>
    <w:r>
      <w:rPr>
        <w:rFonts w:ascii="Calibri" w:cs="Calibri" w:eastAsia="Calibri" w:hAnsi="Calibri"/>
        <w:color w:val="6B64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2C4" w:sz="4" w:space="4"/>
      </w:pBdr>
    </w:pPr>
    <w:r>
      <w:rPr>
        <w:rFonts w:ascii="Calibri" w:cs="Calibri" w:eastAsia="Calibri" w:hAnsi="Calibri"/>
        <w:color w:val="6B6459"/>
        <w:sz w:val="16"/>
        <w:szCs w:val="16"/>
      </w:rPr>
      <w:t xml:space="preserve">Velae Lite  ·  Consolidated Development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7C4A3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7C4A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Georgia" w:cs="Georgia" w:eastAsia="Georgia" w:hAnsi="Georgia"/>
      <w:b/>
      <w:bCs/>
      <w:color w:val="7C4A30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10" w:before="230"/>
      <w:outlineLvl w:val="1"/>
    </w:pPr>
    <w:rPr>
      <w:rFonts w:ascii="Georgia" w:cs="Georgia" w:eastAsia="Georgia" w:hAnsi="Georgia"/>
      <w:b/>
      <w:bCs/>
      <w:color w:val="1A1A17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70" w:before="150"/>
      <w:outlineLvl w:val="2"/>
    </w:pPr>
    <w:rPr>
      <w:rFonts w:ascii="Georgia" w:cs="Georgia" w:eastAsia="Georgia" w:hAnsi="Georgia"/>
      <w:b/>
      <w:bCs/>
      <w:color w:val="A9745A"/>
      <w:sz w:val="20"/>
      <w:szCs w:val="20"/>
    </w:rPr>
  </w:style>
</w:styles>
</file>

<file path=word/_rels/comments.xml.rels><?xml version="1.0" encoding="utf-8"?>
<Relationships xmlns="http://schemas.openxmlformats.org/package/2006/relationships"/>
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settings" Target="settings.xml"/>
  <Relationship Id="rId6" Type="http://schemas.openxmlformats.org/officeDocument/2006/relationships/comments" Target="comments.xml"/>
  <Relationship Id="rId7" Type="http://schemas.openxmlformats.org/officeDocument/2006/relationships/header" Target="header1.xml"/>
  <Relationship Id="rId8" Type="http://schemas.openxmlformats.org/officeDocument/2006/relationships/footer" Target="footer1.xml"/>
  <Relationship Id="rId9" Type="http://schemas.openxmlformats.org/officeDocument/2006/relationships/fontTable" Target="fontTable.xml"/>
</Relationships>

</file>

<file path=word/_rels/endnotes.xml.rels><?xml version="1.0" encoding="utf-8"?>
<Relationships xmlns="http://schemas.openxmlformats.org/package/2006/relationships"/>

</file>

<file path=word/_rels/fontTable.xml.rels><?xml version="1.0" encoding="utf-8"?>
<Relationships xmlns="http://schemas.openxmlformats.org/package/2006/relationships"/>

</file>

<file path=word/_rels/footer1.xml.rels><?xml version="1.0" encoding="utf-8"?>
<Relationships xmlns="http://schemas.openxmlformats.org/package/2006/relationships"/>

</file>

<file path=word/_rels/footnotes.xml.rels><?xml version="1.0" encoding="utf-8"?>
<Relationships xmlns="http://schemas.openxmlformats.org/package/2006/relationships"/>

</file>

<file path=word/_rels/header1.xml.rels><?xml version="1.0" encoding="utf-8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Velae Lite — Consolidated Development Plan</dc:title>
  <dc:creator>Velae Lite</dc:creator>
  <cp:lastModifiedBy>Un-named</cp:lastModifiedBy>
  <cp:revision>1</cp:revision>
  <dcterms:created xsi:type="dcterms:W3CDTF">2026-06-22T00:58:20.677Z</dcterms:created>
  <dcterms:modified xsi:type="dcterms:W3CDTF">2026-06-22T00:58:20.690Z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