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1418" w:right="-656"/>
        <w:jc w:val="center"/>
        <w:rPr>
          <w:rStyle w:val="SubtleEmphasis"/>
          <w:rFonts w:ascii="Arial" w:hAnsi="Arial" w:cs="Arial"/>
          <w:i w:val="false"/>
          <w:lang w:val="az-Latn-AZ"/>
        </w:rPr>
      </w:pPr>
      <w:r>
        <w:rPr/>
        <w:drawing>
          <wp:inline distT="0" distB="0" distL="0" distR="0">
            <wp:extent cx="1125220" cy="1228725"/>
            <wp:effectExtent l="0" t="0" r="0" b="0"/>
            <wp:docPr id="1" name="Picture 1" descr="C:\Users\isgandar.abdullayev\Desktop\Без названия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Users\isgandar.abdullayev\Desktop\Без названия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22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rPr>
          <w:rStyle w:val="SubtleEmphasis"/>
          <w:rFonts w:ascii="Arial" w:hAnsi="Arial" w:cs="Arial"/>
          <w:i w:val="false"/>
          <w:sz w:val="18"/>
          <w:szCs w:val="18"/>
          <w:lang w:val="az-Latn-AZ"/>
        </w:rPr>
      </w:pPr>
      <w:r>
        <w:rPr>
          <w:rFonts w:cs="Arial" w:ascii="Arial" w:hAnsi="Arial"/>
          <w:i w:val="false"/>
          <w:sz w:val="18"/>
          <w:szCs w:val="18"/>
          <w:lang w:val="az-Latn-AZ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AZƏRBAYCAN RESPUBLİKASININ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 xml:space="preserve">ƏMƏK VƏ ƏHALİNİN SOSİAL MÜDAFİƏSİ NAZİRLİYİNİN TABELİYİNDƏ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DAYANIQLI VƏ OPERATİV SOSİAL TƏMİNAT AGENTLİYİ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3 SAYLI BAKI DOST MƏRKƏZİ</w:t>
      </w:r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AZ 1029, Bakı şəhəri, Nizami rayonu,                                                                                                                     Tel: (+99412) 142  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Keşlə ŞTQ Heydər Əliyev prospekti, ev 183B                                                                                   e-poçt: </w:t>
      </w:r>
      <w:hyperlink r:id="rId3">
        <w:r>
          <w:rPr>
            <w:rStyle w:val="Hyperlink"/>
            <w:rFonts w:cs="Arial" w:ascii="Arial" w:hAnsi="Arial"/>
            <w:sz w:val="18"/>
            <w:szCs w:val="18"/>
            <w:lang w:val="az-Latn-AZ"/>
          </w:rPr>
          <w:t>dost_info@sosial.gov.az</w:t>
        </w:r>
      </w:hyperlink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{METN}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{TARIX_METN}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{BITME}.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  <w:t>{YER_METN}</w:t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