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9D21AD" w14:textId="77777777" w:rsidR="00C17CE8" w:rsidRDefault="00C17CE8">
      <w:pPr>
        <w:pBdr>
          <w:bottom w:val="single" w:sz="40" w:space="0" w:color="2E75B6"/>
        </w:pBdr>
      </w:pPr>
    </w:p>
    <w:p w14:paraId="3021A199" w14:textId="77777777" w:rsidR="00C17CE8" w:rsidRDefault="00C17CE8"/>
    <w:p w14:paraId="15412EF5" w14:textId="77777777" w:rsidR="00C17CE8" w:rsidRDefault="00C17CE8"/>
    <w:p w14:paraId="00B329F6" w14:textId="77777777" w:rsidR="00C17CE8" w:rsidRDefault="00D62021">
      <w:pPr>
        <w:spacing w:after="80"/>
        <w:jc w:val="center"/>
      </w:pPr>
      <w:r>
        <w:rPr>
          <w:b/>
          <w:bCs/>
          <w:color w:val="0E7490"/>
          <w:spacing w:val="80"/>
        </w:rPr>
        <w:t>BUSINESS &amp; CLINICAL ANALYTICS</w:t>
      </w:r>
    </w:p>
    <w:p w14:paraId="745D7FFE" w14:textId="77777777" w:rsidR="00C17CE8" w:rsidRDefault="00D62021">
      <w:pPr>
        <w:spacing w:after="600"/>
        <w:jc w:val="center"/>
      </w:pPr>
      <w:r>
        <w:rPr>
          <w:color w:val="374151"/>
          <w:spacing w:val="60"/>
          <w:sz w:val="18"/>
          <w:szCs w:val="18"/>
        </w:rPr>
        <w:t>PROJECT REPORT</w:t>
      </w:r>
    </w:p>
    <w:p w14:paraId="42042F9E" w14:textId="77777777" w:rsidR="00C17CE8" w:rsidRDefault="00D62021">
      <w:pPr>
        <w:jc w:val="center"/>
      </w:pPr>
      <w:r>
        <w:rPr>
          <w:b/>
          <w:bCs/>
          <w:color w:val="1B3A6B"/>
          <w:sz w:val="52"/>
          <w:szCs w:val="52"/>
        </w:rPr>
        <w:t>Predictive Cardiovascular</w:t>
      </w:r>
    </w:p>
    <w:p w14:paraId="35A3A33B" w14:textId="77777777" w:rsidR="00C17CE8" w:rsidRDefault="00D62021">
      <w:pPr>
        <w:spacing w:after="80"/>
        <w:jc w:val="center"/>
      </w:pPr>
      <w:r>
        <w:rPr>
          <w:b/>
          <w:bCs/>
          <w:color w:val="1B3A6B"/>
          <w:sz w:val="52"/>
          <w:szCs w:val="52"/>
        </w:rPr>
        <w:t>Risk Analytics System</w:t>
      </w:r>
    </w:p>
    <w:p w14:paraId="61B9D850" w14:textId="77777777" w:rsidR="00C17CE8" w:rsidRDefault="00D62021">
      <w:pPr>
        <w:spacing w:after="600"/>
        <w:jc w:val="center"/>
      </w:pPr>
      <w:r>
        <w:rPr>
          <w:i/>
          <w:iCs/>
          <w:color w:val="2E75B6"/>
        </w:rPr>
        <w:t>A Machine Learning–Driven Clinical Decision Support Framework</w:t>
      </w:r>
    </w:p>
    <w:p w14:paraId="31AC52A6" w14:textId="77777777" w:rsidR="00C17CE8" w:rsidRDefault="00C17CE8">
      <w:pPr>
        <w:pBdr>
          <w:bottom w:val="single" w:sz="12" w:space="0" w:color="2E75B6"/>
        </w:pBdr>
        <w:spacing w:after="4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C17CE8" w14:paraId="29DABFCF" w14:textId="77777777" w:rsidTr="00017EC7">
        <w:trPr>
          <w:trHeight w:val="1691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AEB7F20" w14:textId="77777777" w:rsidR="00C17CE8" w:rsidRPr="00017EC7" w:rsidRDefault="00D62021">
            <w:pPr>
              <w:jc w:val="center"/>
            </w:pPr>
            <w:r w:rsidRPr="00017EC7">
              <w:rPr>
                <w:color w:val="FFFFFF"/>
              </w:rPr>
              <w:t>Presented By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78B9C6" w14:textId="77777777" w:rsidR="00C17CE8" w:rsidRPr="00017EC7" w:rsidRDefault="00D62021">
            <w:pPr>
              <w:spacing w:before="40" w:after="40"/>
            </w:pPr>
            <w:r w:rsidRPr="00017EC7">
              <w:rPr>
                <w:color w:val="1B3A6B"/>
              </w:rPr>
              <w:t>1.  Muhammad Imran</w:t>
            </w:r>
          </w:p>
          <w:p w14:paraId="6D7BE83F" w14:textId="77777777" w:rsidR="00C17CE8" w:rsidRPr="00017EC7" w:rsidRDefault="00D62021">
            <w:pPr>
              <w:spacing w:before="40" w:after="40"/>
            </w:pPr>
            <w:r w:rsidRPr="00017EC7">
              <w:rPr>
                <w:color w:val="1B3A6B"/>
              </w:rPr>
              <w:t>2.  Muhammad Fawad Khan</w:t>
            </w:r>
          </w:p>
          <w:p w14:paraId="4589BAE3" w14:textId="77777777" w:rsidR="00C17CE8" w:rsidRPr="00017EC7" w:rsidRDefault="00D62021">
            <w:pPr>
              <w:spacing w:before="40" w:after="40"/>
            </w:pPr>
            <w:r w:rsidRPr="00017EC7">
              <w:rPr>
                <w:color w:val="1B3A6B"/>
              </w:rPr>
              <w:t>3.  Zubair Ansari</w:t>
            </w:r>
          </w:p>
          <w:p w14:paraId="4FD375FF" w14:textId="33F105BD" w:rsidR="00C17CE8" w:rsidRPr="00017EC7" w:rsidRDefault="006100AD">
            <w:pPr>
              <w:spacing w:before="40" w:after="40"/>
            </w:pPr>
            <w:r>
              <w:rPr>
                <w:color w:val="1B3A6B"/>
              </w:rPr>
              <w:t xml:space="preserve">4.  Muhammad </w:t>
            </w:r>
            <w:proofErr w:type="spellStart"/>
            <w:r>
              <w:rPr>
                <w:color w:val="1B3A6B"/>
              </w:rPr>
              <w:t>Hassaan</w:t>
            </w:r>
            <w:proofErr w:type="spellEnd"/>
            <w:r>
              <w:rPr>
                <w:color w:val="1B3A6B"/>
              </w:rPr>
              <w:t xml:space="preserve"> Malik</w:t>
            </w:r>
          </w:p>
          <w:p w14:paraId="7E62A82D" w14:textId="77777777" w:rsidR="00C17CE8" w:rsidRPr="00017EC7" w:rsidRDefault="00D62021">
            <w:pPr>
              <w:spacing w:before="40" w:after="40"/>
            </w:pPr>
            <w:r w:rsidRPr="00017EC7">
              <w:rPr>
                <w:color w:val="1B3A6B"/>
              </w:rPr>
              <w:t xml:space="preserve">5.  </w:t>
            </w:r>
            <w:r w:rsidRPr="00017EC7">
              <w:rPr>
                <w:color w:val="1B3A6B"/>
              </w:rPr>
              <w:t>Abdur Raheem</w:t>
            </w:r>
          </w:p>
        </w:tc>
      </w:tr>
    </w:tbl>
    <w:p w14:paraId="47FD2C9C" w14:textId="77777777" w:rsidR="00C17CE8" w:rsidRDefault="00C17CE8"/>
    <w:p w14:paraId="56A5304A" w14:textId="77777777" w:rsidR="00C17CE8" w:rsidRDefault="00C17CE8"/>
    <w:p w14:paraId="1A3A7C00" w14:textId="77777777" w:rsidR="00C17CE8" w:rsidRDefault="00D62021">
      <w:pPr>
        <w:spacing w:after="60"/>
        <w:jc w:val="center"/>
        <w:rPr>
          <w:b/>
          <w:bCs/>
          <w:color w:val="374151"/>
          <w:sz w:val="20"/>
          <w:szCs w:val="20"/>
        </w:rPr>
      </w:pPr>
      <w:r>
        <w:rPr>
          <w:b/>
          <w:bCs/>
          <w:color w:val="374151"/>
          <w:sz w:val="20"/>
          <w:szCs w:val="20"/>
        </w:rPr>
        <w:t>Submitted to:</w:t>
      </w:r>
    </w:p>
    <w:p w14:paraId="54157E66" w14:textId="6637893D" w:rsidR="006100AD" w:rsidRDefault="006100AD">
      <w:pPr>
        <w:spacing w:after="60"/>
        <w:jc w:val="center"/>
      </w:pPr>
      <w:r>
        <w:rPr>
          <w:b/>
          <w:bCs/>
          <w:color w:val="374151"/>
          <w:sz w:val="20"/>
          <w:szCs w:val="20"/>
        </w:rPr>
        <w:t xml:space="preserve">Dr. Syed </w:t>
      </w:r>
      <w:proofErr w:type="spellStart"/>
      <w:r>
        <w:rPr>
          <w:b/>
          <w:bCs/>
          <w:color w:val="374151"/>
          <w:sz w:val="20"/>
          <w:szCs w:val="20"/>
        </w:rPr>
        <w:t>Shafqat</w:t>
      </w:r>
      <w:proofErr w:type="spellEnd"/>
      <w:r>
        <w:rPr>
          <w:b/>
          <w:bCs/>
          <w:color w:val="374151"/>
          <w:sz w:val="20"/>
          <w:szCs w:val="20"/>
        </w:rPr>
        <w:t xml:space="preserve"> </w:t>
      </w:r>
      <w:proofErr w:type="spellStart"/>
      <w:r>
        <w:rPr>
          <w:b/>
          <w:bCs/>
          <w:color w:val="374151"/>
          <w:sz w:val="20"/>
          <w:szCs w:val="20"/>
        </w:rPr>
        <w:t>Mukarram</w:t>
      </w:r>
      <w:proofErr w:type="spellEnd"/>
      <w:r>
        <w:rPr>
          <w:b/>
          <w:bCs/>
          <w:color w:val="374151"/>
          <w:sz w:val="20"/>
          <w:szCs w:val="20"/>
        </w:rPr>
        <w:t xml:space="preserve"> </w:t>
      </w:r>
    </w:p>
    <w:p w14:paraId="50B3BBCE" w14:textId="24D22FC2" w:rsidR="00C17CE8" w:rsidRDefault="00C17CE8">
      <w:pPr>
        <w:spacing w:after="400"/>
        <w:jc w:val="center"/>
      </w:pPr>
      <w:bookmarkStart w:id="0" w:name="_GoBack"/>
      <w:bookmarkEnd w:id="0"/>
    </w:p>
    <w:p w14:paraId="5355DA50" w14:textId="77777777" w:rsidR="00017EC7" w:rsidRDefault="00017EC7">
      <w:pPr>
        <w:spacing w:after="400"/>
        <w:jc w:val="center"/>
      </w:pPr>
    </w:p>
    <w:p w14:paraId="1942185E" w14:textId="77777777" w:rsidR="00017EC7" w:rsidRDefault="00017EC7">
      <w:pPr>
        <w:spacing w:after="400"/>
        <w:jc w:val="center"/>
      </w:pPr>
    </w:p>
    <w:p w14:paraId="79F5FEE4" w14:textId="77777777" w:rsidR="00017EC7" w:rsidRDefault="00017EC7">
      <w:pPr>
        <w:spacing w:after="400"/>
        <w:jc w:val="center"/>
      </w:pPr>
    </w:p>
    <w:p w14:paraId="5D4B457F" w14:textId="77777777" w:rsidR="00017EC7" w:rsidRDefault="00017EC7">
      <w:pPr>
        <w:spacing w:after="400"/>
        <w:jc w:val="center"/>
      </w:pPr>
    </w:p>
    <w:p w14:paraId="7EA46D93" w14:textId="77777777" w:rsidR="00017EC7" w:rsidRPr="00017EC7" w:rsidRDefault="00017EC7">
      <w:pPr>
        <w:spacing w:after="400"/>
        <w:jc w:val="center"/>
      </w:pPr>
    </w:p>
    <w:p w14:paraId="09DEB106" w14:textId="77777777" w:rsidR="00C17CE8" w:rsidRDefault="00C17CE8">
      <w:pPr>
        <w:pBdr>
          <w:bottom w:val="single" w:sz="40" w:space="0" w:color="2E75B6"/>
        </w:pBdr>
        <w:spacing w:before="400"/>
      </w:pPr>
    </w:p>
    <w:p w14:paraId="3F39EF0C" w14:textId="77777777" w:rsidR="00C17CE8" w:rsidRDefault="00D62021">
      <w:r>
        <w:br w:type="page"/>
      </w:r>
    </w:p>
    <w:p w14:paraId="2C947E38" w14:textId="77777777" w:rsidR="00C17CE8" w:rsidRDefault="00D62021">
      <w:pPr>
        <w:shd w:val="clear" w:color="auto" w:fill="1B3A6B"/>
        <w:spacing w:before="400"/>
        <w:ind w:left="200" w:right="200"/>
      </w:pPr>
      <w:r>
        <w:rPr>
          <w:b/>
          <w:bCs/>
          <w:color w:val="FFFFFF"/>
          <w:sz w:val="11"/>
          <w:szCs w:val="11"/>
        </w:rPr>
        <w:lastRenderedPageBreak/>
        <w:t xml:space="preserve">SECTION 1  </w:t>
      </w:r>
      <w:r>
        <w:rPr>
          <w:b/>
          <w:bCs/>
          <w:color w:val="FFFFFF"/>
          <w:spacing w:val="40"/>
          <w:sz w:val="11"/>
          <w:szCs w:val="11"/>
        </w:rPr>
        <w:t>EXECUTIVE SUMMARY &amp; PROJECT PROBLEM DEFINITION</w:t>
      </w:r>
    </w:p>
    <w:p w14:paraId="57BB0289" w14:textId="77777777" w:rsidR="00C17CE8" w:rsidRDefault="00C17CE8">
      <w:pPr>
        <w:pBdr>
          <w:bottom w:val="single" w:sz="6" w:space="0" w:color="2E75B6"/>
        </w:pBdr>
        <w:spacing w:after="200"/>
      </w:pPr>
    </w:p>
    <w:p w14:paraId="3C5D1397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Cardiovascular diseases (CVDs) remain the leading cause of global mortality. Traditional clinical practices operate reactively, treating patients only after </w:t>
      </w:r>
      <w:r>
        <w:rPr>
          <w:color w:val="374151"/>
          <w:sz w:val="21"/>
          <w:szCs w:val="21"/>
        </w:rPr>
        <w:t>advanced symptoms or acute cardiac events manifest. This paradigm causes critical delays in care delivery, leads to irreversible myocardial tissue damage, drives high 30-day hospital readmission rates, and places severe strain on outpatient care infrastruc</w:t>
      </w:r>
      <w:r>
        <w:rPr>
          <w:color w:val="374151"/>
          <w:sz w:val="21"/>
          <w:szCs w:val="21"/>
        </w:rPr>
        <w:t>ture.</w:t>
      </w:r>
    </w:p>
    <w:p w14:paraId="59C56F2E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This project proposes a shift to a proactive, machine learning–driven predictive healthcare framework. By identifying asymptomatic high-risk patients early, clinical facilities can significantly reduce emergency critical care expenditures, minimize o</w:t>
      </w:r>
      <w:r>
        <w:rPr>
          <w:color w:val="374151"/>
          <w:sz w:val="21"/>
          <w:szCs w:val="21"/>
        </w:rPr>
        <w:t>perational diagnostic bottlenecks, and enable effective resource allocation under a value-based healthcare delivery model.</w:t>
      </w:r>
    </w:p>
    <w:p w14:paraId="06472410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Primary Stakeholders</w:t>
      </w:r>
    </w:p>
    <w:p w14:paraId="723F1FF3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Clinicians &amp; Cardiologists: </w:t>
      </w:r>
      <w:r>
        <w:rPr>
          <w:color w:val="374151"/>
          <w:sz w:val="21"/>
          <w:szCs w:val="21"/>
        </w:rPr>
        <w:t>Require a robust, transparent Clinical Decision Support System (CDSS) to objectively</w:t>
      </w:r>
      <w:r>
        <w:rPr>
          <w:color w:val="374151"/>
          <w:sz w:val="21"/>
          <w:szCs w:val="21"/>
        </w:rPr>
        <w:t xml:space="preserve"> prioritize and triage incoming patients based on quantified risk scores.</w:t>
      </w:r>
    </w:p>
    <w:p w14:paraId="7AB99892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Hospital Administrators (Chief Medical Officers): </w:t>
      </w:r>
      <w:r>
        <w:rPr>
          <w:color w:val="374151"/>
          <w:sz w:val="21"/>
          <w:szCs w:val="21"/>
        </w:rPr>
        <w:t xml:space="preserve">Require population-level risk stratification data to manage staffing requirements, ICU bed capacities, and diagnostic </w:t>
      </w:r>
      <w:r>
        <w:rPr>
          <w:color w:val="374151"/>
          <w:sz w:val="21"/>
          <w:szCs w:val="21"/>
        </w:rPr>
        <w:t>catheterization lab scheduling.</w:t>
      </w:r>
    </w:p>
    <w:p w14:paraId="3D1F1D70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Patients: </w:t>
      </w:r>
      <w:r>
        <w:rPr>
          <w:color w:val="374151"/>
          <w:sz w:val="21"/>
          <w:szCs w:val="21"/>
        </w:rPr>
        <w:t>Benefit from early clinical interventions, personalized preventive care pathways, and a significantly improved quality of life through timely disease management.</w:t>
      </w:r>
    </w:p>
    <w:p w14:paraId="6DB92A07" w14:textId="77777777" w:rsidR="00C17CE8" w:rsidRDefault="00C17C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17CE8" w14:paraId="17210900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E2E4C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OBJECTIVE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931F35" w14:textId="77777777" w:rsidR="00C17CE8" w:rsidRDefault="00D62021">
            <w:pPr>
              <w:jc w:val="both"/>
            </w:pPr>
            <w:r>
              <w:rPr>
                <w:color w:val="374151"/>
                <w:sz w:val="20"/>
                <w:szCs w:val="20"/>
              </w:rPr>
              <w:t>Develop an enterprise-grade predictiv</w:t>
            </w:r>
            <w:r>
              <w:rPr>
                <w:color w:val="374151"/>
                <w:sz w:val="20"/>
                <w:szCs w:val="20"/>
              </w:rPr>
              <w:t>e model capable of classifying patients into actionable cardiovascular risk tiers — enabling proactive, data-driven clinical decision-making across the entire care continuum.</w:t>
            </w:r>
          </w:p>
        </w:tc>
      </w:tr>
    </w:tbl>
    <w:p w14:paraId="6963092F" w14:textId="77777777" w:rsidR="00C17CE8" w:rsidRDefault="00C17CE8"/>
    <w:p w14:paraId="17643528" w14:textId="77777777" w:rsidR="00C17CE8" w:rsidRDefault="00D62021">
      <w:r>
        <w:br w:type="page"/>
      </w:r>
    </w:p>
    <w:p w14:paraId="7A57F447" w14:textId="77777777" w:rsidR="00C17CE8" w:rsidRDefault="00D62021">
      <w:pPr>
        <w:shd w:val="clear" w:color="auto" w:fill="1B3A6B"/>
        <w:spacing w:before="400"/>
        <w:ind w:left="200" w:right="200"/>
      </w:pPr>
      <w:r>
        <w:rPr>
          <w:b/>
          <w:bCs/>
          <w:color w:val="FFFFFF"/>
          <w:sz w:val="11"/>
          <w:szCs w:val="11"/>
        </w:rPr>
        <w:lastRenderedPageBreak/>
        <w:t xml:space="preserve">SECTION 2  </w:t>
      </w:r>
      <w:r>
        <w:rPr>
          <w:b/>
          <w:bCs/>
          <w:color w:val="FFFFFF"/>
          <w:spacing w:val="40"/>
          <w:sz w:val="11"/>
          <w:szCs w:val="11"/>
        </w:rPr>
        <w:t>DATA ENVIRONMENT &amp; EXPLORATORY ANALYSIS</w:t>
      </w:r>
    </w:p>
    <w:p w14:paraId="1B434334" w14:textId="77777777" w:rsidR="00C17CE8" w:rsidRDefault="00C17CE8">
      <w:pPr>
        <w:pBdr>
          <w:bottom w:val="single" w:sz="6" w:space="0" w:color="2E75B6"/>
        </w:pBdr>
        <w:spacing w:after="200"/>
      </w:pPr>
    </w:p>
    <w:p w14:paraId="7E75DBA8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Dataset Profile</w:t>
      </w:r>
    </w:p>
    <w:p w14:paraId="0A78BDF6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The </w:t>
      </w:r>
      <w:r>
        <w:rPr>
          <w:color w:val="374151"/>
          <w:sz w:val="21"/>
          <w:szCs w:val="21"/>
        </w:rPr>
        <w:t>primary data landscape consists of 921 de-identified patient records compiled from four internationally recognized medical institutions: the Cleveland Clinic Foundation (USA), the Hungarian Institute of Cardiology (Budapest), the University Hospital of Zur</w:t>
      </w:r>
      <w:r>
        <w:rPr>
          <w:color w:val="374151"/>
          <w:sz w:val="21"/>
          <w:szCs w:val="21"/>
        </w:rPr>
        <w:t>ich (Switzerland), and the VA Medical Center in Long Beach, California (USA). This multi-institutional compilation provides clinical diversity essential for building a generalizable predictive model.</w:t>
      </w:r>
    </w:p>
    <w:p w14:paraId="551C38A5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Target Variable Standardization</w:t>
      </w:r>
    </w:p>
    <w:p w14:paraId="36B5E736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To deliver clear, action</w:t>
      </w:r>
      <w:r>
        <w:rPr>
          <w:color w:val="374151"/>
          <w:sz w:val="21"/>
          <w:szCs w:val="21"/>
        </w:rPr>
        <w:t>able diagnostic value, the raw multi-class target variable — ranging from 0 (healthy) to 1–4 (worsening tiers of active cardiovascular disease) — was reconfigured into a standardized binary clinical indicator:</w:t>
      </w:r>
    </w:p>
    <w:p w14:paraId="7B73D137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Class 0: </w:t>
      </w:r>
      <w:r>
        <w:rPr>
          <w:color w:val="374151"/>
          <w:sz w:val="21"/>
          <w:szCs w:val="21"/>
        </w:rPr>
        <w:t>Healthy / Low Risk Baseline — Patient</w:t>
      </w:r>
      <w:r>
        <w:rPr>
          <w:color w:val="374151"/>
          <w:sz w:val="21"/>
          <w:szCs w:val="21"/>
        </w:rPr>
        <w:t xml:space="preserve"> exhibits no significant cardiovascular disease markers.</w:t>
      </w:r>
    </w:p>
    <w:p w14:paraId="252E1994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Class 1: </w:t>
      </w:r>
      <w:r>
        <w:rPr>
          <w:color w:val="374151"/>
          <w:sz w:val="21"/>
          <w:szCs w:val="21"/>
        </w:rPr>
        <w:t>Heart Disease Present / High Risk Target — Patient exhibits clinically significant cardiovascular disease indicators requiring intervention.</w:t>
      </w:r>
    </w:p>
    <w:p w14:paraId="7497FA22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Data Quality Challenges</w:t>
      </w:r>
    </w:p>
    <w:p w14:paraId="0563F379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The consolidated multi-in</w:t>
      </w:r>
      <w:r>
        <w:rPr>
          <w:color w:val="374151"/>
          <w:sz w:val="21"/>
          <w:szCs w:val="21"/>
        </w:rPr>
        <w:t>stitutional dataset contains substantial missing data compared to individual clinic subsets, posing significant preprocessing challenges:</w:t>
      </w:r>
    </w:p>
    <w:p w14:paraId="66802C04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Fluoroscopy Vessel Count (ca): </w:t>
      </w:r>
      <w:r>
        <w:rPr>
          <w:color w:val="374151"/>
          <w:sz w:val="21"/>
          <w:szCs w:val="21"/>
        </w:rPr>
        <w:t>611 missing values — omission rate exceeding 66%.</w:t>
      </w:r>
    </w:p>
    <w:p w14:paraId="5E258518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Thalassemia Blood Dynamics (thal): </w:t>
      </w:r>
      <w:r>
        <w:rPr>
          <w:color w:val="374151"/>
          <w:sz w:val="21"/>
          <w:szCs w:val="21"/>
        </w:rPr>
        <w:t>48</w:t>
      </w:r>
      <w:r>
        <w:rPr>
          <w:color w:val="374151"/>
          <w:sz w:val="21"/>
          <w:szCs w:val="21"/>
        </w:rPr>
        <w:t>6 missing values — omission rate exceeding 52%.</w:t>
      </w:r>
    </w:p>
    <w:p w14:paraId="606FDC48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These two features were permanently excluded from the analytical model to eliminate heavy statistical noise and prevent systematic bias introduction. Remaining attributes with moderate missingness were addres</w:t>
      </w:r>
      <w:r>
        <w:rPr>
          <w:color w:val="374151"/>
          <w:sz w:val="21"/>
          <w:szCs w:val="21"/>
        </w:rPr>
        <w:t>sed through advanced imputation strategies detailed in Section 3.</w:t>
      </w:r>
    </w:p>
    <w:p w14:paraId="3E62ABF2" w14:textId="77777777" w:rsidR="00C17CE8" w:rsidRDefault="00C17C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17CE8" w14:paraId="7FF71F35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B2B11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INSIGHT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FFA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60284F" w14:textId="77777777" w:rsidR="00C17CE8" w:rsidRDefault="00D62021">
            <w:pPr>
              <w:jc w:val="both"/>
            </w:pPr>
            <w:r>
              <w:rPr>
                <w:color w:val="374151"/>
                <w:sz w:val="20"/>
                <w:szCs w:val="20"/>
              </w:rPr>
              <w:t>Multi-institutional data introduces institutional reporting variance that can confound model training. Strict preprocessing pipelines are essential to neutralize these inconsis</w:t>
            </w:r>
            <w:r>
              <w:rPr>
                <w:color w:val="374151"/>
                <w:sz w:val="20"/>
                <w:szCs w:val="20"/>
              </w:rPr>
              <w:t>tencies before model development.</w:t>
            </w:r>
          </w:p>
        </w:tc>
      </w:tr>
    </w:tbl>
    <w:p w14:paraId="46754384" w14:textId="77777777" w:rsidR="00C17CE8" w:rsidRDefault="00C17CE8"/>
    <w:p w14:paraId="1BAC042F" w14:textId="77777777" w:rsidR="00C17CE8" w:rsidRDefault="00D62021">
      <w:r>
        <w:br w:type="page"/>
      </w:r>
    </w:p>
    <w:p w14:paraId="312941C3" w14:textId="77777777" w:rsidR="00C17CE8" w:rsidRDefault="00D62021">
      <w:pPr>
        <w:shd w:val="clear" w:color="auto" w:fill="1B3A6B"/>
        <w:spacing w:before="400"/>
        <w:ind w:left="200" w:right="200"/>
      </w:pPr>
      <w:r>
        <w:rPr>
          <w:b/>
          <w:bCs/>
          <w:color w:val="FFFFFF"/>
          <w:sz w:val="11"/>
          <w:szCs w:val="11"/>
        </w:rPr>
        <w:lastRenderedPageBreak/>
        <w:t xml:space="preserve">SECTION 3  </w:t>
      </w:r>
      <w:r>
        <w:rPr>
          <w:b/>
          <w:bCs/>
          <w:color w:val="FFFFFF"/>
          <w:spacing w:val="40"/>
          <w:sz w:val="11"/>
          <w:szCs w:val="11"/>
        </w:rPr>
        <w:t>PREPROCESSING PIPELINE &amp; ENGINEERING MECHANICS</w:t>
      </w:r>
    </w:p>
    <w:p w14:paraId="16CCA2A5" w14:textId="77777777" w:rsidR="00C17CE8" w:rsidRDefault="00C17CE8">
      <w:pPr>
        <w:pBdr>
          <w:bottom w:val="single" w:sz="6" w:space="0" w:color="2E75B6"/>
        </w:pBdr>
        <w:spacing w:after="200"/>
      </w:pPr>
    </w:p>
    <w:p w14:paraId="43884E63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To build an enterprise-grade predictive engine without introducing synthetic bias, data leakage, or model overfitting, a rigorous multi-stage preprocessing </w:t>
      </w:r>
      <w:r>
        <w:rPr>
          <w:color w:val="374151"/>
          <w:sz w:val="21"/>
          <w:szCs w:val="21"/>
        </w:rPr>
        <w:t>framework was established. Each pipeline component was designed to reflect real-world clinical data conditions and preserve statistical integrity throughout the modeling workflow.</w:t>
      </w:r>
    </w:p>
    <w:p w14:paraId="5F33F984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1. Feature Pruning</w:t>
      </w:r>
    </w:p>
    <w:p w14:paraId="67F816B7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Columns ca (fluoroscopy vessel count) and thal (thalassem</w:t>
      </w:r>
      <w:r>
        <w:rPr>
          <w:color w:val="374151"/>
          <w:sz w:val="21"/>
          <w:szCs w:val="21"/>
        </w:rPr>
        <w:t>ia blood dynamics) were permanently dropped from the analytical feature matrix due to missingness exceeding 50%. Retaining these features would require imputing the majority of their values, introducing unacceptable levels of statistical noise and undermin</w:t>
      </w:r>
      <w:r>
        <w:rPr>
          <w:color w:val="374151"/>
          <w:sz w:val="21"/>
          <w:szCs w:val="21"/>
        </w:rPr>
        <w:t>ing model reliability in clinical deployment.</w:t>
      </w:r>
    </w:p>
    <w:p w14:paraId="338C5B8C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2. Upfront Categorical Encoding</w:t>
      </w:r>
    </w:p>
    <w:p w14:paraId="2AA0E75F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Nominal text-based clinical attributes — specifically sex, chest pain type (cp), fasting blood sugar (fbs), resting ECG results (restecg), exercise-induced angina (exang), and </w:t>
      </w:r>
      <w:r>
        <w:rPr>
          <w:color w:val="374151"/>
          <w:sz w:val="21"/>
          <w:szCs w:val="21"/>
        </w:rPr>
        <w:t>slope — were transformed into flat numeric binary representations using explicit pandas dummy encoding. This encoding approach structurally isolates categorical variables and prevents data-type alignment errors during downstream validation modeling.</w:t>
      </w:r>
    </w:p>
    <w:p w14:paraId="79D8F55C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3. Mul</w:t>
      </w:r>
      <w:r>
        <w:rPr>
          <w:b/>
          <w:bCs/>
          <w:color w:val="2E75B6"/>
          <w:sz w:val="24"/>
          <w:szCs w:val="24"/>
        </w:rPr>
        <w:t>tivariate Imputation by Chained Equations (MICE)</w:t>
      </w:r>
    </w:p>
    <w:p w14:paraId="1349C010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For attributes with moderate missingness, a Multivariate Imputation by Chained Equations (MICE) protocol was applied. This technique models each missing continuous feature sequentially as a function of all o</w:t>
      </w:r>
      <w:r>
        <w:rPr>
          <w:color w:val="374151"/>
          <w:sz w:val="21"/>
          <w:szCs w:val="21"/>
        </w:rPr>
        <w:t>ther observed attributes in the dataset, effectively capturing natural physiological correlations across variables without destroying sample volume. Features treated via MICE included:</w:t>
      </w:r>
    </w:p>
    <w:p w14:paraId="0F59E02F" w14:textId="77777777" w:rsidR="00C17CE8" w:rsidRDefault="00D62021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Resting Blood Pressure (trestbps): 59 missing values</w:t>
      </w:r>
    </w:p>
    <w:p w14:paraId="05FA31A9" w14:textId="77777777" w:rsidR="00C17CE8" w:rsidRDefault="00D62021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 xml:space="preserve">Serum Cholesterol </w:t>
      </w:r>
      <w:r>
        <w:rPr>
          <w:color w:val="374151"/>
          <w:sz w:val="20"/>
          <w:szCs w:val="20"/>
        </w:rPr>
        <w:t>(chol): 30 missing values</w:t>
      </w:r>
    </w:p>
    <w:p w14:paraId="6A4FD7EA" w14:textId="77777777" w:rsidR="00C17CE8" w:rsidRDefault="00D62021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Exercise ST-Segment Slope (slope): 309 missing values</w:t>
      </w:r>
    </w:p>
    <w:p w14:paraId="141B1CB4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4. Data Standardization</w:t>
      </w:r>
    </w:p>
    <w:p w14:paraId="6F28E00F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Continuous clinical attributes exhibiting highly diverse mathematical ranges — specifically patient age, resting blood pressure readings, and serum chol</w:t>
      </w:r>
      <w:r>
        <w:rPr>
          <w:color w:val="374151"/>
          <w:sz w:val="21"/>
          <w:szCs w:val="21"/>
        </w:rPr>
        <w:t>esterol measurements — were scaled to a uniform distribution with a mean of 0 and a variance of 1 using StandardScaler. This critical normalization step prevents gradient-based optimization algorithms from being disproportionately influenced by large-magni</w:t>
      </w:r>
      <w:r>
        <w:rPr>
          <w:color w:val="374151"/>
          <w:sz w:val="21"/>
          <w:szCs w:val="21"/>
        </w:rPr>
        <w:t>tude numerical metrics during model training.</w:t>
      </w:r>
    </w:p>
    <w:p w14:paraId="0E2881E9" w14:textId="77777777" w:rsidR="00C17CE8" w:rsidRDefault="00D62021">
      <w:r>
        <w:br w:type="page"/>
      </w:r>
    </w:p>
    <w:p w14:paraId="430C6ED5" w14:textId="77777777" w:rsidR="00C17CE8" w:rsidRDefault="00D62021">
      <w:pPr>
        <w:shd w:val="clear" w:color="auto" w:fill="1B3A6B"/>
        <w:spacing w:before="400"/>
        <w:ind w:left="200" w:right="200"/>
      </w:pPr>
      <w:r>
        <w:rPr>
          <w:b/>
          <w:bCs/>
          <w:color w:val="FFFFFF"/>
          <w:sz w:val="11"/>
          <w:szCs w:val="11"/>
        </w:rPr>
        <w:lastRenderedPageBreak/>
        <w:t xml:space="preserve">SECTION 4  </w:t>
      </w:r>
      <w:r>
        <w:rPr>
          <w:b/>
          <w:bCs/>
          <w:color w:val="FFFFFF"/>
          <w:spacing w:val="40"/>
          <w:sz w:val="11"/>
          <w:szCs w:val="11"/>
        </w:rPr>
        <w:t>MODEL DEVELOPMENT &amp; EVALUATION FRAMEWORK</w:t>
      </w:r>
    </w:p>
    <w:p w14:paraId="4F04BB24" w14:textId="77777777" w:rsidR="00C17CE8" w:rsidRDefault="00C17CE8">
      <w:pPr>
        <w:pBdr>
          <w:bottom w:val="single" w:sz="6" w:space="0" w:color="2E75B6"/>
        </w:pBdr>
        <w:spacing w:after="200"/>
      </w:pPr>
    </w:p>
    <w:p w14:paraId="038C4526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Technology Stack</w:t>
      </w:r>
    </w:p>
    <w:p w14:paraId="374579F4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The analytical pipeline was architected entirely within a containerized Python environment, leveraging the following core libraries and fr</w:t>
      </w:r>
      <w:r>
        <w:rPr>
          <w:color w:val="374151"/>
          <w:sz w:val="21"/>
          <w:szCs w:val="21"/>
        </w:rPr>
        <w:t>ameworks:</w:t>
      </w:r>
    </w:p>
    <w:p w14:paraId="7F64537D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Pandas &amp; NumPy: </w:t>
      </w:r>
      <w:r>
        <w:rPr>
          <w:color w:val="374151"/>
          <w:sz w:val="21"/>
          <w:szCs w:val="21"/>
        </w:rPr>
        <w:t>Data ingestion, matrix manipulation, and dummy encoding structuring.</w:t>
      </w:r>
    </w:p>
    <w:p w14:paraId="46E3D80C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Scikit-Learn: </w:t>
      </w:r>
      <w:r>
        <w:rPr>
          <w:color w:val="374151"/>
          <w:sz w:val="21"/>
          <w:szCs w:val="21"/>
        </w:rPr>
        <w:t>Pipeline orchestration, Stratified Cross-Validation, and StandardScaler transformations.</w:t>
      </w:r>
    </w:p>
    <w:p w14:paraId="2DE42518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XGBoost: </w:t>
      </w:r>
      <w:r>
        <w:rPr>
          <w:color w:val="374151"/>
          <w:sz w:val="21"/>
          <w:szCs w:val="21"/>
        </w:rPr>
        <w:t>Gradient tree-boosting operations and ensemble mo</w:t>
      </w:r>
      <w:r>
        <w:rPr>
          <w:color w:val="374151"/>
          <w:sz w:val="21"/>
          <w:szCs w:val="21"/>
        </w:rPr>
        <w:t>del training.</w:t>
      </w:r>
    </w:p>
    <w:p w14:paraId="246FD04E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Matplotlib &amp; Seaborn: </w:t>
      </w:r>
      <w:r>
        <w:rPr>
          <w:color w:val="374151"/>
          <w:sz w:val="21"/>
          <w:szCs w:val="21"/>
        </w:rPr>
        <w:t>Comparative performance visualization and clinical insight reporting.</w:t>
      </w:r>
    </w:p>
    <w:p w14:paraId="7096F7DB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Experimental Modeling Framework</w:t>
      </w:r>
    </w:p>
    <w:p w14:paraId="6AAF7D40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Three distinct algorithm classes were systematically evaluated within a Stratified 5-Fold Cross-Validation Framework t</w:t>
      </w:r>
      <w:r>
        <w:rPr>
          <w:color w:val="374151"/>
          <w:sz w:val="21"/>
          <w:szCs w:val="21"/>
        </w:rPr>
        <w:t>o rigorously assess performance boundaries and generalizability across held-out patient data:</w:t>
      </w:r>
    </w:p>
    <w:p w14:paraId="6964E148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Baseline — Logistic Regression: </w:t>
      </w:r>
      <w:r>
        <w:rPr>
          <w:color w:val="374151"/>
          <w:sz w:val="21"/>
          <w:szCs w:val="21"/>
        </w:rPr>
        <w:t>A highly interpretable linear classifier computing log-odds ratios of individual clinical risk factors. Serves as the foundational</w:t>
      </w:r>
      <w:r>
        <w:rPr>
          <w:color w:val="374151"/>
          <w:sz w:val="21"/>
          <w:szCs w:val="21"/>
        </w:rPr>
        <w:t xml:space="preserve"> performance benchmark.</w:t>
      </w:r>
    </w:p>
    <w:p w14:paraId="5E23699C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Tree Ensemble — Random Forest: </w:t>
      </w:r>
      <w:r>
        <w:rPr>
          <w:color w:val="374151"/>
          <w:sz w:val="21"/>
          <w:szCs w:val="21"/>
        </w:rPr>
        <w:t>A parallel bagging architecture constructing an ensemble of uncorrelated decision trees to reduce model variance and improve predictive stability.</w:t>
      </w:r>
    </w:p>
    <w:p w14:paraId="0F977970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Gradient Boosting — XGBoost: </w:t>
      </w:r>
      <w:r>
        <w:rPr>
          <w:color w:val="374151"/>
          <w:sz w:val="21"/>
          <w:szCs w:val="21"/>
        </w:rPr>
        <w:t xml:space="preserve">A sequential boosting </w:t>
      </w:r>
      <w:r>
        <w:rPr>
          <w:color w:val="374151"/>
          <w:sz w:val="21"/>
          <w:szCs w:val="21"/>
        </w:rPr>
        <w:t>architecture that iteratively optimizes weak learners directly against structural loss gradients, achieving superior discriminatory performance.</w:t>
      </w:r>
    </w:p>
    <w:p w14:paraId="411A8984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Comprehensive Performance Metrics</w:t>
      </w:r>
    </w:p>
    <w:p w14:paraId="321A5FE6" w14:textId="77777777" w:rsidR="00C17CE8" w:rsidRDefault="00C17C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5"/>
        <w:gridCol w:w="2185"/>
        <w:gridCol w:w="2190"/>
      </w:tblGrid>
      <w:tr w:rsidR="00C17CE8" w14:paraId="078427A0" w14:textId="77777777"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DD751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Evaluation Metric</w:t>
            </w:r>
          </w:p>
        </w:tc>
        <w:tc>
          <w:tcPr>
            <w:tcW w:w="218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A1352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Logistic Regression (Baseline)</w:t>
            </w:r>
          </w:p>
        </w:tc>
        <w:tc>
          <w:tcPr>
            <w:tcW w:w="218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402E8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Random Forest Ensemble</w:t>
            </w:r>
          </w:p>
        </w:tc>
        <w:tc>
          <w:tcPr>
            <w:tcW w:w="219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0817C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XGBo</w:t>
            </w:r>
            <w:r>
              <w:rPr>
                <w:b/>
                <w:bCs/>
                <w:color w:val="FFFFFF"/>
                <w:sz w:val="19"/>
                <w:szCs w:val="19"/>
              </w:rPr>
              <w:t>ost Classifier (Champion)</w:t>
            </w:r>
          </w:p>
        </w:tc>
      </w:tr>
      <w:tr w:rsidR="00C17CE8" w14:paraId="3ECDB534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D3BA" w14:textId="77777777" w:rsidR="00C17CE8" w:rsidRDefault="00D62021">
            <w:r>
              <w:rPr>
                <w:color w:val="374151"/>
                <w:sz w:val="20"/>
                <w:szCs w:val="20"/>
              </w:rPr>
              <w:t>Holdout Test Accuracy</w:t>
            </w:r>
          </w:p>
        </w:tc>
        <w:tc>
          <w:tcPr>
            <w:tcW w:w="21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8605" w14:textId="77777777" w:rsidR="00C17CE8" w:rsidRDefault="00D62021">
            <w:pPr>
              <w:jc w:val="center"/>
            </w:pPr>
            <w:r>
              <w:rPr>
                <w:color w:val="374151"/>
                <w:sz w:val="20"/>
                <w:szCs w:val="20"/>
              </w:rPr>
              <w:t>78.26%</w:t>
            </w:r>
          </w:p>
        </w:tc>
        <w:tc>
          <w:tcPr>
            <w:tcW w:w="21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6CF8" w14:textId="77777777" w:rsidR="00C17CE8" w:rsidRDefault="00D62021">
            <w:pPr>
              <w:jc w:val="center"/>
            </w:pPr>
            <w:r>
              <w:rPr>
                <w:color w:val="374151"/>
                <w:sz w:val="20"/>
                <w:szCs w:val="20"/>
              </w:rPr>
              <w:t>84.78%</w:t>
            </w:r>
          </w:p>
        </w:tc>
        <w:tc>
          <w:tcPr>
            <w:tcW w:w="21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4960" w14:textId="77777777" w:rsidR="00C17CE8" w:rsidRDefault="00D62021">
            <w:pPr>
              <w:jc w:val="center"/>
            </w:pPr>
            <w:r>
              <w:rPr>
                <w:b/>
                <w:bCs/>
                <w:color w:val="0E7490"/>
                <w:sz w:val="20"/>
                <w:szCs w:val="20"/>
              </w:rPr>
              <w:t>85.33% ★</w:t>
            </w:r>
          </w:p>
        </w:tc>
      </w:tr>
      <w:tr w:rsidR="00C17CE8" w14:paraId="5F53DDD4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50BF" w14:textId="77777777" w:rsidR="00C17CE8" w:rsidRDefault="00D62021">
            <w:r>
              <w:rPr>
                <w:color w:val="374151"/>
                <w:sz w:val="20"/>
                <w:szCs w:val="20"/>
              </w:rPr>
              <w:t>Test Recall (Sensitivity)</w:t>
            </w:r>
          </w:p>
        </w:tc>
        <w:tc>
          <w:tcPr>
            <w:tcW w:w="21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ACD1" w14:textId="77777777" w:rsidR="00C17CE8" w:rsidRDefault="00D62021">
            <w:pPr>
              <w:jc w:val="center"/>
            </w:pPr>
            <w:r>
              <w:rPr>
                <w:color w:val="374151"/>
                <w:sz w:val="20"/>
                <w:szCs w:val="20"/>
              </w:rPr>
              <w:t>83.33%</w:t>
            </w:r>
          </w:p>
        </w:tc>
        <w:tc>
          <w:tcPr>
            <w:tcW w:w="21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AA76" w14:textId="77777777" w:rsidR="00C17CE8" w:rsidRDefault="00D62021">
            <w:pPr>
              <w:jc w:val="center"/>
            </w:pPr>
            <w:r>
              <w:rPr>
                <w:b/>
                <w:bCs/>
                <w:color w:val="0E7490"/>
                <w:sz w:val="20"/>
                <w:szCs w:val="20"/>
              </w:rPr>
              <w:t>90.20% ★</w:t>
            </w:r>
          </w:p>
        </w:tc>
        <w:tc>
          <w:tcPr>
            <w:tcW w:w="21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5739" w14:textId="77777777" w:rsidR="00C17CE8" w:rsidRDefault="00D62021">
            <w:pPr>
              <w:jc w:val="center"/>
            </w:pPr>
            <w:r>
              <w:rPr>
                <w:color w:val="374151"/>
                <w:sz w:val="20"/>
                <w:szCs w:val="20"/>
              </w:rPr>
              <w:t>87.25%</w:t>
            </w:r>
          </w:p>
        </w:tc>
      </w:tr>
      <w:tr w:rsidR="00C17CE8" w14:paraId="4730BDB7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E9BB" w14:textId="77777777" w:rsidR="00C17CE8" w:rsidRDefault="00D62021">
            <w:r>
              <w:rPr>
                <w:color w:val="374151"/>
                <w:sz w:val="20"/>
                <w:szCs w:val="20"/>
              </w:rPr>
              <w:t>Holdout Test ROC-AUC</w:t>
            </w:r>
          </w:p>
        </w:tc>
        <w:tc>
          <w:tcPr>
            <w:tcW w:w="21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6AFF" w14:textId="77777777" w:rsidR="00C17CE8" w:rsidRDefault="00D62021">
            <w:pPr>
              <w:jc w:val="center"/>
            </w:pPr>
            <w:r>
              <w:rPr>
                <w:color w:val="374151"/>
                <w:sz w:val="20"/>
                <w:szCs w:val="20"/>
              </w:rPr>
              <w:t>0.7972</w:t>
            </w:r>
          </w:p>
        </w:tc>
        <w:tc>
          <w:tcPr>
            <w:tcW w:w="21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9E17" w14:textId="77777777" w:rsidR="00C17CE8" w:rsidRDefault="00D62021">
            <w:pPr>
              <w:jc w:val="center"/>
            </w:pPr>
            <w:r>
              <w:rPr>
                <w:color w:val="374151"/>
                <w:sz w:val="20"/>
                <w:szCs w:val="20"/>
              </w:rPr>
              <w:t>0.9070</w:t>
            </w:r>
          </w:p>
        </w:tc>
        <w:tc>
          <w:tcPr>
            <w:tcW w:w="21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AFF2" w14:textId="77777777" w:rsidR="00C17CE8" w:rsidRDefault="00D62021">
            <w:pPr>
              <w:jc w:val="center"/>
            </w:pPr>
            <w:r>
              <w:rPr>
                <w:b/>
                <w:bCs/>
                <w:color w:val="0E7490"/>
                <w:sz w:val="20"/>
                <w:szCs w:val="20"/>
              </w:rPr>
              <w:t>0.9151 ★</w:t>
            </w:r>
          </w:p>
        </w:tc>
      </w:tr>
    </w:tbl>
    <w:p w14:paraId="33EAF76A" w14:textId="77777777" w:rsidR="00C17CE8" w:rsidRDefault="00C17CE8"/>
    <w:p w14:paraId="5822607E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Strategic Model Selection Justification</w:t>
      </w:r>
    </w:p>
    <w:p w14:paraId="39DCAA73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In a clinical diagnostic support </w:t>
      </w:r>
      <w:r>
        <w:rPr>
          <w:color w:val="374151"/>
          <w:sz w:val="21"/>
          <w:szCs w:val="21"/>
        </w:rPr>
        <w:t>infrastructure, Recall (Sensitivity) is prioritized as the primary north-star performance metric. A False Negative error — misclassifying an actively sick cardiac patient as healthy — carries catastrophic clinical consequences, including untreated acute ev</w:t>
      </w:r>
      <w:r>
        <w:rPr>
          <w:color w:val="374151"/>
          <w:sz w:val="21"/>
          <w:szCs w:val="21"/>
        </w:rPr>
        <w:t>ents and preventable mortality. A False Positive error, by contrast, simply triggers secondary non-invasive diagnostic validation, presenting a far lower risk.</w:t>
      </w:r>
    </w:p>
    <w:p w14:paraId="6183CE19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XGBoost achieved the highest overall discriminatory power (ROC-AUC: 0.9151) and top-tier test ac</w:t>
      </w:r>
      <w:r>
        <w:rPr>
          <w:color w:val="374151"/>
          <w:sz w:val="21"/>
          <w:szCs w:val="21"/>
        </w:rPr>
        <w:t>curacy (85.33%), establishing it as the Champion Model. The Random Forest Ensemble remains a strong complementary candidate by capturing the maximum absolute proportion of at-risk patients (Test Recall: 90.20%). These results collectively validate the supe</w:t>
      </w:r>
      <w:r>
        <w:rPr>
          <w:color w:val="374151"/>
          <w:sz w:val="21"/>
          <w:szCs w:val="21"/>
        </w:rPr>
        <w:t>riority of non-linear tree-based ensemble architectures over linear baselines for complex physiological risk classification.</w:t>
      </w:r>
    </w:p>
    <w:p w14:paraId="18868A7F" w14:textId="77777777" w:rsidR="00C17CE8" w:rsidRDefault="00D62021">
      <w:r>
        <w:br w:type="page"/>
      </w:r>
    </w:p>
    <w:p w14:paraId="7C7BF5D0" w14:textId="77777777" w:rsidR="00C17CE8" w:rsidRDefault="00D62021">
      <w:pPr>
        <w:shd w:val="clear" w:color="auto" w:fill="1B3A6B"/>
        <w:spacing w:before="400"/>
        <w:ind w:left="200" w:right="200"/>
      </w:pPr>
      <w:r>
        <w:rPr>
          <w:b/>
          <w:bCs/>
          <w:color w:val="FFFFFF"/>
          <w:sz w:val="11"/>
          <w:szCs w:val="11"/>
        </w:rPr>
        <w:lastRenderedPageBreak/>
        <w:t xml:space="preserve">SECTION 5  </w:t>
      </w:r>
      <w:r>
        <w:rPr>
          <w:b/>
          <w:bCs/>
          <w:color w:val="FFFFFF"/>
          <w:spacing w:val="40"/>
          <w:sz w:val="11"/>
          <w:szCs w:val="11"/>
        </w:rPr>
        <w:t>CLINICAL BUSINESS INTERPRETATION &amp; RISK STRATIFICATION ENGINE</w:t>
      </w:r>
    </w:p>
    <w:p w14:paraId="3A9217EF" w14:textId="77777777" w:rsidR="00C17CE8" w:rsidRDefault="00C17CE8">
      <w:pPr>
        <w:pBdr>
          <w:bottom w:val="single" w:sz="6" w:space="0" w:color="2E75B6"/>
        </w:pBdr>
        <w:spacing w:after="200"/>
      </w:pPr>
    </w:p>
    <w:p w14:paraId="11AD10E8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To bridge the critical gap between raw machine learning</w:t>
      </w:r>
      <w:r>
        <w:rPr>
          <w:color w:val="374151"/>
          <w:sz w:val="21"/>
          <w:szCs w:val="21"/>
        </w:rPr>
        <w:t xml:space="preserve"> probability outputs and active hospital operations, the continuous probability scores generated by the champion model are mapped directly into a structured Patient Risk Stratification Triage Engine. This clinical translation layer enables attending medica</w:t>
      </w:r>
      <w:r>
        <w:rPr>
          <w:color w:val="374151"/>
          <w:sz w:val="21"/>
          <w:szCs w:val="21"/>
        </w:rPr>
        <w:t>l staff to make immediate, protocol-driven care decisions without requiring direct model interaction.</w:t>
      </w:r>
    </w:p>
    <w:p w14:paraId="376E4908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Patient Risk Stratification Triage Tiers</w:t>
      </w:r>
    </w:p>
    <w:p w14:paraId="1CF48CF4" w14:textId="77777777" w:rsidR="00C17CE8" w:rsidRDefault="00C17C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1222"/>
        <w:gridCol w:w="3175"/>
        <w:gridCol w:w="3185"/>
      </w:tblGrid>
      <w:tr w:rsidR="00C17CE8" w14:paraId="2A56D6B5" w14:textId="77777777"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02655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Tier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B85D7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323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A3F6E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Patient Profile</w:t>
            </w:r>
          </w:p>
        </w:tc>
        <w:tc>
          <w:tcPr>
            <w:tcW w:w="323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02CE4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Clinical &amp; Business Action</w:t>
            </w:r>
          </w:p>
        </w:tc>
      </w:tr>
      <w:tr w:rsidR="00C17CE8" w14:paraId="6873D9E6" w14:textId="77777777">
        <w:tc>
          <w:tcPr>
            <w:tcW w:w="18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BA37" w14:textId="77777777" w:rsidR="00C17CE8" w:rsidRDefault="00D62021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🟢</w:t>
            </w:r>
            <w:r>
              <w:rPr>
                <w:b/>
                <w:bCs/>
                <w:color w:val="374151"/>
                <w:sz w:val="20"/>
                <w:szCs w:val="20"/>
              </w:rPr>
              <w:t xml:space="preserve">  LOW RISK</w:t>
            </w:r>
          </w:p>
        </w:tc>
        <w:tc>
          <w:tcPr>
            <w:tcW w:w="11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C65D" w14:textId="77777777" w:rsidR="00C17CE8" w:rsidRDefault="00D62021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&lt; 35%</w:t>
            </w:r>
          </w:p>
        </w:tc>
        <w:tc>
          <w:tcPr>
            <w:tcW w:w="323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DDAF" w14:textId="77777777" w:rsidR="00C17CE8" w:rsidRDefault="00D62021">
            <w:pPr>
              <w:jc w:val="both"/>
            </w:pPr>
            <w:r>
              <w:rPr>
                <w:color w:val="374151"/>
                <w:sz w:val="19"/>
                <w:szCs w:val="19"/>
              </w:rPr>
              <w:t xml:space="preserve">Stable baseline metrics </w:t>
            </w:r>
            <w:r>
              <w:rPr>
                <w:color w:val="374151"/>
                <w:sz w:val="19"/>
                <w:szCs w:val="19"/>
              </w:rPr>
              <w:t>with healthy resting ECG and no exercise-induced anomalies.</w:t>
            </w:r>
          </w:p>
        </w:tc>
        <w:tc>
          <w:tcPr>
            <w:tcW w:w="323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852C" w14:textId="77777777" w:rsidR="00C17CE8" w:rsidRDefault="00D62021">
            <w:pPr>
              <w:jc w:val="both"/>
            </w:pPr>
            <w:r>
              <w:rPr>
                <w:color w:val="374151"/>
                <w:sz w:val="19"/>
                <w:szCs w:val="19"/>
              </w:rPr>
              <w:t>Routine annual check-ups. Avoids unnecessary diagnostic stress and minimizes outpatient resource consumption.</w:t>
            </w:r>
          </w:p>
        </w:tc>
      </w:tr>
      <w:tr w:rsidR="00C17CE8" w14:paraId="2D0CC588" w14:textId="77777777">
        <w:tc>
          <w:tcPr>
            <w:tcW w:w="1800" w:type="dxa"/>
            <w:tcBorders>
              <w:top w:val="single" w:sz="1" w:space="0" w:color="CA8A04"/>
              <w:left w:val="single" w:sz="1" w:space="0" w:color="CA8A04"/>
              <w:bottom w:val="single" w:sz="1" w:space="0" w:color="CA8A04"/>
              <w:right w:val="single" w:sz="1" w:space="0" w:color="CA8A04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427E" w14:textId="77777777" w:rsidR="00C17CE8" w:rsidRDefault="00D62021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🟡</w:t>
            </w:r>
            <w:r>
              <w:rPr>
                <w:b/>
                <w:bCs/>
                <w:color w:val="374151"/>
                <w:sz w:val="20"/>
                <w:szCs w:val="20"/>
              </w:rPr>
              <w:t xml:space="preserve">  MEDIUM RISK</w:t>
            </w:r>
          </w:p>
        </w:tc>
        <w:tc>
          <w:tcPr>
            <w:tcW w:w="1100" w:type="dxa"/>
            <w:tcBorders>
              <w:top w:val="single" w:sz="1" w:space="0" w:color="CA8A04"/>
              <w:left w:val="single" w:sz="1" w:space="0" w:color="CA8A04"/>
              <w:bottom w:val="single" w:sz="1" w:space="0" w:color="CA8A04"/>
              <w:right w:val="single" w:sz="1" w:space="0" w:color="CA8A04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B1DD" w14:textId="77777777" w:rsidR="00C17CE8" w:rsidRDefault="00D62021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35% – 70%</w:t>
            </w:r>
          </w:p>
        </w:tc>
        <w:tc>
          <w:tcPr>
            <w:tcW w:w="3230" w:type="dxa"/>
            <w:tcBorders>
              <w:top w:val="single" w:sz="1" w:space="0" w:color="CA8A04"/>
              <w:left w:val="single" w:sz="1" w:space="0" w:color="CA8A04"/>
              <w:bottom w:val="single" w:sz="1" w:space="0" w:color="CA8A04"/>
              <w:right w:val="single" w:sz="1" w:space="0" w:color="CA8A0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602C" w14:textId="77777777" w:rsidR="00C17CE8" w:rsidRDefault="00D62021">
            <w:pPr>
              <w:jc w:val="both"/>
            </w:pPr>
            <w:r>
              <w:rPr>
                <w:color w:val="374151"/>
                <w:sz w:val="19"/>
                <w:szCs w:val="19"/>
              </w:rPr>
              <w:t xml:space="preserve">Early warning signs: fluctuating resting blood pressure </w:t>
            </w:r>
            <w:r>
              <w:rPr>
                <w:color w:val="374151"/>
                <w:sz w:val="19"/>
                <w:szCs w:val="19"/>
              </w:rPr>
              <w:t>with mild exercise-induced ST-segment depressions.</w:t>
            </w:r>
          </w:p>
        </w:tc>
        <w:tc>
          <w:tcPr>
            <w:tcW w:w="3230" w:type="dxa"/>
            <w:tcBorders>
              <w:top w:val="single" w:sz="1" w:space="0" w:color="CA8A04"/>
              <w:left w:val="single" w:sz="1" w:space="0" w:color="CA8A04"/>
              <w:bottom w:val="single" w:sz="1" w:space="0" w:color="CA8A04"/>
              <w:right w:val="single" w:sz="1" w:space="0" w:color="CA8A0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5F9B" w14:textId="77777777" w:rsidR="00C17CE8" w:rsidRDefault="00D62021">
            <w:pPr>
              <w:jc w:val="both"/>
            </w:pPr>
            <w:r>
              <w:rPr>
                <w:color w:val="374151"/>
                <w:sz w:val="19"/>
                <w:szCs w:val="19"/>
              </w:rPr>
              <w:t>Automated enrollment into digital health coaching, nutritional tracking, and remote blood pressure monitoring to proactively manage disease progression.</w:t>
            </w:r>
          </w:p>
        </w:tc>
      </w:tr>
      <w:tr w:rsidR="00C17CE8" w14:paraId="4F5D4102" w14:textId="77777777">
        <w:tc>
          <w:tcPr>
            <w:tcW w:w="18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AE92" w14:textId="77777777" w:rsidR="00C17CE8" w:rsidRDefault="00D62021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🔴</w:t>
            </w:r>
            <w:r>
              <w:rPr>
                <w:b/>
                <w:bCs/>
                <w:color w:val="374151"/>
                <w:sz w:val="20"/>
                <w:szCs w:val="20"/>
              </w:rPr>
              <w:t xml:space="preserve">  HIGH RISK</w:t>
            </w:r>
          </w:p>
        </w:tc>
        <w:tc>
          <w:tcPr>
            <w:tcW w:w="11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11C6" w14:textId="77777777" w:rsidR="00C17CE8" w:rsidRDefault="00D62021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&gt; 70%</w:t>
            </w:r>
          </w:p>
        </w:tc>
        <w:tc>
          <w:tcPr>
            <w:tcW w:w="323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A0A3" w14:textId="77777777" w:rsidR="00C17CE8" w:rsidRDefault="00D62021">
            <w:pPr>
              <w:jc w:val="both"/>
            </w:pPr>
            <w:r>
              <w:rPr>
                <w:color w:val="374151"/>
                <w:sz w:val="19"/>
                <w:szCs w:val="19"/>
              </w:rPr>
              <w:t xml:space="preserve">Strongly correlated </w:t>
            </w:r>
            <w:r>
              <w:rPr>
                <w:color w:val="374151"/>
                <w:sz w:val="19"/>
                <w:szCs w:val="19"/>
              </w:rPr>
              <w:t>multi-factor risk flagged heavily by the tree-ensemble framework.</w:t>
            </w:r>
          </w:p>
        </w:tc>
        <w:tc>
          <w:tcPr>
            <w:tcW w:w="323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608A" w14:textId="77777777" w:rsidR="00C17CE8" w:rsidRDefault="00D62021">
            <w:pPr>
              <w:jc w:val="both"/>
            </w:pPr>
            <w:r>
              <w:rPr>
                <w:color w:val="374151"/>
                <w:sz w:val="19"/>
                <w:szCs w:val="19"/>
              </w:rPr>
              <w:t>Immediate priority alert within the hospital system, fast-tracking the patient to a specialist cardiologist, stress echocardiogram, and catheterization lab scheduling.</w:t>
            </w:r>
          </w:p>
        </w:tc>
      </w:tr>
    </w:tbl>
    <w:p w14:paraId="4793D061" w14:textId="77777777" w:rsidR="00C17CE8" w:rsidRDefault="00C17CE8"/>
    <w:p w14:paraId="0CADED3D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This three-tier </w:t>
      </w:r>
      <w:r>
        <w:rPr>
          <w:color w:val="374151"/>
          <w:sz w:val="21"/>
          <w:szCs w:val="21"/>
        </w:rPr>
        <w:t>stratification architecture enables hospitals to allocate care resources proportionally to patient risk levels, dramatically reducing unnecessary diagnostic procedures for low-risk patients while ensuring high-risk patients receive urgent, prioritized clin</w:t>
      </w:r>
      <w:r>
        <w:rPr>
          <w:color w:val="374151"/>
          <w:sz w:val="21"/>
          <w:szCs w:val="21"/>
        </w:rPr>
        <w:t>ical attention. The business impact includes measurable reductions in emergency care expenditures, ICU overcrowding, and average patient wait times for specialist consultations.</w:t>
      </w:r>
    </w:p>
    <w:p w14:paraId="0772E207" w14:textId="77777777" w:rsidR="00C17CE8" w:rsidRDefault="00C17C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17CE8" w14:paraId="3EA32F3F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5E81B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IMPACT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B62B2D" w14:textId="77777777" w:rsidR="00C17CE8" w:rsidRDefault="00D62021">
            <w:pPr>
              <w:jc w:val="both"/>
            </w:pPr>
            <w:r>
              <w:rPr>
                <w:color w:val="374151"/>
                <w:sz w:val="20"/>
                <w:szCs w:val="20"/>
              </w:rPr>
              <w:t>Deploying this triage engine across a hospital network of 10,</w:t>
            </w:r>
            <w:r>
              <w:rPr>
                <w:color w:val="374151"/>
                <w:sz w:val="20"/>
                <w:szCs w:val="20"/>
              </w:rPr>
              <w:t>000+ annual cardiology outpatients is projected to reduce unnecessary diagnostic screenings by 30–40%, while increasing early specialist referral rates for high-risk patients by an estimated 25%, significantly improving patient outcomes and operational eff</w:t>
            </w:r>
            <w:r>
              <w:rPr>
                <w:color w:val="374151"/>
                <w:sz w:val="20"/>
                <w:szCs w:val="20"/>
              </w:rPr>
              <w:t>iciency.</w:t>
            </w:r>
          </w:p>
        </w:tc>
      </w:tr>
    </w:tbl>
    <w:p w14:paraId="15584BD2" w14:textId="77777777" w:rsidR="00C17CE8" w:rsidRDefault="00C17CE8"/>
    <w:p w14:paraId="77617926" w14:textId="77777777" w:rsidR="00C17CE8" w:rsidRDefault="00D62021">
      <w:r>
        <w:br w:type="page"/>
      </w:r>
    </w:p>
    <w:p w14:paraId="71719A0B" w14:textId="77777777" w:rsidR="00C17CE8" w:rsidRDefault="00D62021">
      <w:pPr>
        <w:shd w:val="clear" w:color="auto" w:fill="1B3A6B"/>
        <w:spacing w:before="400"/>
        <w:ind w:left="200" w:right="200"/>
      </w:pPr>
      <w:r>
        <w:rPr>
          <w:b/>
          <w:bCs/>
          <w:color w:val="FFFFFF"/>
          <w:sz w:val="11"/>
          <w:szCs w:val="11"/>
        </w:rPr>
        <w:lastRenderedPageBreak/>
        <w:t xml:space="preserve">SECTION 6  </w:t>
      </w:r>
      <w:r>
        <w:rPr>
          <w:b/>
          <w:bCs/>
          <w:color w:val="FFFFFF"/>
          <w:spacing w:val="40"/>
          <w:sz w:val="11"/>
          <w:szCs w:val="11"/>
        </w:rPr>
        <w:t>PRODUCTION ARCHITECTURE &amp; DEPLOYMENT BLUEPRINT</w:t>
      </w:r>
    </w:p>
    <w:p w14:paraId="2E2F7FEC" w14:textId="77777777" w:rsidR="00C17CE8" w:rsidRDefault="00C17CE8">
      <w:pPr>
        <w:pBdr>
          <w:bottom w:val="single" w:sz="6" w:space="0" w:color="2E75B6"/>
        </w:pBdr>
        <w:spacing w:after="200"/>
      </w:pPr>
    </w:p>
    <w:p w14:paraId="6F4B582C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End-to-End System Architecture</w:t>
      </w:r>
    </w:p>
    <w:p w14:paraId="38828F37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The proposed production system architecture transitions raw clinical data into actionable patient risk intelligence across four secure, modular software </w:t>
      </w:r>
      <w:r>
        <w:rPr>
          <w:color w:val="374151"/>
          <w:sz w:val="21"/>
          <w:szCs w:val="21"/>
        </w:rPr>
        <w:t>layers:</w:t>
      </w:r>
    </w:p>
    <w:p w14:paraId="03BCF4F2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Data Ingestion Layer: </w:t>
      </w:r>
      <w:r>
        <w:rPr>
          <w:color w:val="374151"/>
          <w:sz w:val="21"/>
          <w:szCs w:val="21"/>
        </w:rPr>
        <w:t>Routine patient parameters are securely captured from hospital Electronic Health Record (EHR) databases during check-ins and routed via encrypted API endpoints with full audit logging.</w:t>
      </w:r>
    </w:p>
    <w:p w14:paraId="030D91BA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Pipeline Preprocessing Layer: </w:t>
      </w:r>
      <w:r>
        <w:rPr>
          <w:color w:val="374151"/>
          <w:sz w:val="21"/>
          <w:szCs w:val="21"/>
        </w:rPr>
        <w:t xml:space="preserve">A </w:t>
      </w:r>
      <w:r>
        <w:rPr>
          <w:color w:val="374151"/>
          <w:sz w:val="21"/>
          <w:szCs w:val="21"/>
        </w:rPr>
        <w:t>containerized backend microservice ingests raw records, dynamically handles missing values using pre-calculated MICE imputer coefficients, and normalizes feature values using the saved StandardScaler configurations trained during model development.</w:t>
      </w:r>
    </w:p>
    <w:p w14:paraId="3A9C4DAF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>Inferen</w:t>
      </w:r>
      <w:r>
        <w:rPr>
          <w:b/>
          <w:bCs/>
          <w:color w:val="1B3A6B"/>
          <w:sz w:val="21"/>
          <w:szCs w:val="21"/>
        </w:rPr>
        <w:t xml:space="preserve">ce Core Engine: </w:t>
      </w:r>
      <w:r>
        <w:rPr>
          <w:color w:val="374151"/>
          <w:sz w:val="21"/>
          <w:szCs w:val="21"/>
        </w:rPr>
        <w:t>The champion ensemble model processes the aligned numerical feature array and generates a real-time cardiovascular risk probability score for each patient record.</w:t>
      </w:r>
    </w:p>
    <w:p w14:paraId="195D0680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Actionable Interface Frontend: </w:t>
      </w:r>
      <w:r>
        <w:rPr>
          <w:color w:val="374151"/>
          <w:sz w:val="21"/>
          <w:szCs w:val="21"/>
        </w:rPr>
        <w:t>The resulting risk classification tier is deli</w:t>
      </w:r>
      <w:r>
        <w:rPr>
          <w:color w:val="374151"/>
          <w:sz w:val="21"/>
          <w:szCs w:val="21"/>
        </w:rPr>
        <w:t>vered instantly to a secure, interactive clinical dashboard, rendering color-coded patient risk flags with recommended care pathway actions for attending medical staff.</w:t>
      </w:r>
    </w:p>
    <w:p w14:paraId="20CF1167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Primary Operational Challenges &amp; Mitigations</w:t>
      </w:r>
    </w:p>
    <w:p w14:paraId="42DB5909" w14:textId="77777777" w:rsidR="00C17CE8" w:rsidRDefault="00D62021">
      <w:pPr>
        <w:spacing w:before="160" w:after="60"/>
      </w:pPr>
      <w:r>
        <w:rPr>
          <w:b/>
          <w:bCs/>
          <w:color w:val="1B3A6B"/>
        </w:rPr>
        <w:t>Regulatory Compliance &amp; Data Privacy</w:t>
      </w:r>
    </w:p>
    <w:p w14:paraId="73F38615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Patie</w:t>
      </w:r>
      <w:r>
        <w:rPr>
          <w:color w:val="374151"/>
          <w:sz w:val="21"/>
          <w:szCs w:val="21"/>
        </w:rPr>
        <w:t xml:space="preserve">nt health records are classified as highly sensitive protected health information (PHI). All data transit layers must utilize AES-256 end-to-end encryption. Storage environments must maintain full compliance with HIPAA (USA), GDPR (Europe), and applicable </w:t>
      </w:r>
      <w:r>
        <w:rPr>
          <w:color w:val="374151"/>
          <w:sz w:val="21"/>
          <w:szCs w:val="21"/>
        </w:rPr>
        <w:t>national medical data privacy regulations. All model inference logs must be anonymized before archival.</w:t>
      </w:r>
    </w:p>
    <w:p w14:paraId="606BCF55" w14:textId="77777777" w:rsidR="00C17CE8" w:rsidRDefault="00D62021">
      <w:pPr>
        <w:spacing w:before="160" w:after="60"/>
      </w:pPr>
      <w:r>
        <w:rPr>
          <w:b/>
          <w:bCs/>
          <w:color w:val="1B3A6B"/>
        </w:rPr>
        <w:t>Legacy Hospital System Integration</w:t>
      </w:r>
    </w:p>
    <w:p w14:paraId="22FDEBE3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 xml:space="preserve">Hospital database infrastructures are often architecturally rigid and operate on proprietary EHR systems. The entire </w:t>
      </w:r>
      <w:r>
        <w:rPr>
          <w:color w:val="374151"/>
          <w:sz w:val="21"/>
          <w:szCs w:val="21"/>
        </w:rPr>
        <w:t>modeling framework must be packaged inside a lightweight, containerized microservice — a FastAPI backend wrapped in a Docker container — that communicates using standardized healthcare exchange protocols (HL7 FHIR) to ensure broad institutional compatibili</w:t>
      </w:r>
      <w:r>
        <w:rPr>
          <w:color w:val="374151"/>
          <w:sz w:val="21"/>
          <w:szCs w:val="21"/>
        </w:rPr>
        <w:t>ty.</w:t>
      </w:r>
    </w:p>
    <w:p w14:paraId="024F2E8C" w14:textId="77777777" w:rsidR="00C17CE8" w:rsidRDefault="00D62021">
      <w:pPr>
        <w:spacing w:before="160" w:after="60"/>
      </w:pPr>
      <w:r>
        <w:rPr>
          <w:b/>
          <w:bCs/>
          <w:color w:val="1B3A6B"/>
        </w:rPr>
        <w:t>Data &amp; Model Drift Management</w:t>
      </w:r>
    </w:p>
    <w:p w14:paraId="32B9647C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Baseline population demographics, lifestyle trends, clinical documentation practices, and diagnostic coding standards can shift over time, causing data drift that progressively degrades model predictive performance. The pr</w:t>
      </w:r>
      <w:r>
        <w:rPr>
          <w:color w:val="374151"/>
          <w:sz w:val="21"/>
          <w:szCs w:val="21"/>
        </w:rPr>
        <w:t>oduction system design mitigates this through embedded automated logging hooks that continuously monitor real-time feature distributions and trigger alert flags for scheduled model retraining cycles on fresh institutional data.</w:t>
      </w:r>
    </w:p>
    <w:p w14:paraId="0D50C8A9" w14:textId="77777777" w:rsidR="00C17CE8" w:rsidRDefault="00C17C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789"/>
      </w:tblGrid>
      <w:tr w:rsidR="00C17CE8" w14:paraId="32807E28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EBD2E" w14:textId="77777777" w:rsidR="00C17CE8" w:rsidRDefault="00D6202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DEPLOYMENT NOTE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1C79FB" w14:textId="77777777" w:rsidR="00C17CE8" w:rsidRDefault="00D62021">
            <w:pPr>
              <w:jc w:val="both"/>
            </w:pPr>
            <w:r>
              <w:rPr>
                <w:color w:val="374151"/>
                <w:sz w:val="20"/>
                <w:szCs w:val="20"/>
              </w:rPr>
              <w:t>All model o</w:t>
            </w:r>
            <w:r>
              <w:rPr>
                <w:color w:val="374151"/>
                <w:sz w:val="20"/>
                <w:szCs w:val="20"/>
              </w:rPr>
              <w:t>utputs are advisory decision-support tools. Final clinical decisions remain the exclusive responsibility of licensed medical professionals. The system is designed to augment, not replace, clinical judgment.</w:t>
            </w:r>
          </w:p>
        </w:tc>
      </w:tr>
    </w:tbl>
    <w:p w14:paraId="067494A2" w14:textId="77777777" w:rsidR="00C17CE8" w:rsidRDefault="00C17CE8"/>
    <w:p w14:paraId="4176C4FF" w14:textId="77777777" w:rsidR="00C17CE8" w:rsidRDefault="00D62021">
      <w:r>
        <w:br w:type="page"/>
      </w:r>
    </w:p>
    <w:p w14:paraId="047042AE" w14:textId="77777777" w:rsidR="00C17CE8" w:rsidRDefault="00D62021">
      <w:pPr>
        <w:shd w:val="clear" w:color="auto" w:fill="1B3A6B"/>
        <w:spacing w:before="400"/>
        <w:ind w:left="200" w:right="200"/>
      </w:pPr>
      <w:r>
        <w:rPr>
          <w:b/>
          <w:bCs/>
          <w:color w:val="FFFFFF"/>
          <w:sz w:val="11"/>
          <w:szCs w:val="11"/>
        </w:rPr>
        <w:lastRenderedPageBreak/>
        <w:t xml:space="preserve">SECTION 7  </w:t>
      </w:r>
      <w:r>
        <w:rPr>
          <w:b/>
          <w:bCs/>
          <w:color w:val="FFFFFF"/>
          <w:spacing w:val="40"/>
          <w:sz w:val="11"/>
          <w:szCs w:val="11"/>
        </w:rPr>
        <w:t xml:space="preserve">CONCLUSION &amp; STRATEGIC </w:t>
      </w:r>
      <w:r>
        <w:rPr>
          <w:b/>
          <w:bCs/>
          <w:color w:val="FFFFFF"/>
          <w:spacing w:val="40"/>
          <w:sz w:val="11"/>
          <w:szCs w:val="11"/>
        </w:rPr>
        <w:t>RECOMMENDATIONS</w:t>
      </w:r>
    </w:p>
    <w:p w14:paraId="61BAD118" w14:textId="77777777" w:rsidR="00C17CE8" w:rsidRDefault="00C17CE8">
      <w:pPr>
        <w:pBdr>
          <w:bottom w:val="single" w:sz="6" w:space="0" w:color="2E75B6"/>
        </w:pBdr>
        <w:spacing w:after="200"/>
      </w:pPr>
    </w:p>
    <w:p w14:paraId="56F47549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This project successfully demonstrates the technical feasibility and significant business value of deploying a machine learning–driven predictive cardiovascular risk analytics system within a real-world clinical environment. Through a rigo</w:t>
      </w:r>
      <w:r>
        <w:rPr>
          <w:color w:val="374151"/>
          <w:sz w:val="21"/>
          <w:szCs w:val="21"/>
        </w:rPr>
        <w:t>rous data pipeline, three competing model architectures were evaluated, with the XGBoost Classifier emerging as the Champion Model with a ROC-AUC of 0.9151 — representing a 15% performance improvement over the linear baseline.</w:t>
      </w:r>
    </w:p>
    <w:p w14:paraId="7B445D1D" w14:textId="77777777" w:rsidR="00C17CE8" w:rsidRDefault="00D62021">
      <w:pPr>
        <w:spacing w:before="80" w:after="160"/>
        <w:jc w:val="both"/>
      </w:pPr>
      <w:r>
        <w:rPr>
          <w:color w:val="374151"/>
          <w:sz w:val="21"/>
          <w:szCs w:val="21"/>
        </w:rPr>
        <w:t>The patient risk stratificati</w:t>
      </w:r>
      <w:r>
        <w:rPr>
          <w:color w:val="374151"/>
          <w:sz w:val="21"/>
          <w:szCs w:val="21"/>
        </w:rPr>
        <w:t>on triage engine translates raw model probabilities into concrete, actionable clinical decisions across three care tiers — enabling hospitals to allocate limited medical resources with evidence-based precision and measurably improve patient outcomes at sca</w:t>
      </w:r>
      <w:r>
        <w:rPr>
          <w:color w:val="374151"/>
          <w:sz w:val="21"/>
          <w:szCs w:val="21"/>
        </w:rPr>
        <w:t>le.</w:t>
      </w:r>
    </w:p>
    <w:p w14:paraId="08B51B72" w14:textId="77777777" w:rsidR="00C17CE8" w:rsidRDefault="00D62021">
      <w:pPr>
        <w:pBdr>
          <w:left w:val="single" w:sz="18" w:space="6" w:color="2E75B6"/>
        </w:pBdr>
        <w:spacing w:before="280" w:after="100"/>
        <w:ind w:left="200"/>
      </w:pPr>
      <w:r>
        <w:rPr>
          <w:b/>
          <w:bCs/>
          <w:color w:val="2E75B6"/>
          <w:sz w:val="24"/>
          <w:szCs w:val="24"/>
        </w:rPr>
        <w:t>Strategic Recommendations</w:t>
      </w:r>
    </w:p>
    <w:p w14:paraId="26EAAC46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Phased Clinical Pilot: </w:t>
      </w:r>
      <w:r>
        <w:rPr>
          <w:color w:val="374151"/>
          <w:sz w:val="21"/>
          <w:szCs w:val="21"/>
        </w:rPr>
        <w:t>Deploy the system in a controlled pilot across one hospital cardiology department before full institutional rollout, enabling performance validation in a live clinical environment.</w:t>
      </w:r>
    </w:p>
    <w:p w14:paraId="13DFB454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Regulatory Pre-Submission: </w:t>
      </w:r>
      <w:r>
        <w:rPr>
          <w:color w:val="374151"/>
          <w:sz w:val="21"/>
          <w:szCs w:val="21"/>
        </w:rPr>
        <w:t>Engage regulatory advisors early to initiate HIPAA compliance auditing and prepare technical documentation for medical device software (SaMD) classification requirements.</w:t>
      </w:r>
    </w:p>
    <w:p w14:paraId="0815A527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Continuous Monitoring Infrastructure: </w:t>
      </w:r>
      <w:r>
        <w:rPr>
          <w:color w:val="374151"/>
          <w:sz w:val="21"/>
          <w:szCs w:val="21"/>
        </w:rPr>
        <w:t xml:space="preserve">Establish automated </w:t>
      </w:r>
      <w:r>
        <w:rPr>
          <w:color w:val="374151"/>
          <w:sz w:val="21"/>
          <w:szCs w:val="21"/>
        </w:rPr>
        <w:t>feature distribution monitoring and quarterly model retraining cycles to counteract clinical data drift and maintain prediction accuracy over time.</w:t>
      </w:r>
    </w:p>
    <w:p w14:paraId="416D8A35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Clinician Training &amp; Adoption: </w:t>
      </w:r>
      <w:r>
        <w:rPr>
          <w:color w:val="374151"/>
          <w:sz w:val="21"/>
          <w:szCs w:val="21"/>
        </w:rPr>
        <w:t>Invest in structured training programs for attending physicians and nursing s</w:t>
      </w:r>
      <w:r>
        <w:rPr>
          <w:color w:val="374151"/>
          <w:sz w:val="21"/>
          <w:szCs w:val="21"/>
        </w:rPr>
        <w:t>taff to ensure effective interpretation and confident adoption of the risk stratification dashboard.</w:t>
      </w:r>
    </w:p>
    <w:p w14:paraId="225BE035" w14:textId="77777777" w:rsidR="00C17CE8" w:rsidRDefault="00D6202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  <w:sz w:val="21"/>
          <w:szCs w:val="21"/>
        </w:rPr>
        <w:t xml:space="preserve">Extended Feature Integration: </w:t>
      </w:r>
      <w:r>
        <w:rPr>
          <w:color w:val="374151"/>
          <w:sz w:val="21"/>
          <w:szCs w:val="21"/>
        </w:rPr>
        <w:t>Incorporate additional clinical biomarkers — such as troponin levels, BNP markers, and wearable device sensor data — in subse</w:t>
      </w:r>
      <w:r>
        <w:rPr>
          <w:color w:val="374151"/>
          <w:sz w:val="21"/>
          <w:szCs w:val="21"/>
        </w:rPr>
        <w:t>quent model iterations to further improve predictive accuracy.</w:t>
      </w:r>
    </w:p>
    <w:p w14:paraId="39B519A3" w14:textId="77777777" w:rsidR="00C17CE8" w:rsidRDefault="00C17C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7CE8" w14:paraId="52F79506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3A54785" w14:textId="77777777" w:rsidR="00C17CE8" w:rsidRDefault="00D62021">
            <w:pPr>
              <w:spacing w:after="100"/>
              <w:jc w:val="center"/>
            </w:pPr>
            <w:r>
              <w:rPr>
                <w:b/>
                <w:bCs/>
                <w:color w:val="1B3A6B"/>
              </w:rPr>
              <w:t>Team Declaration</w:t>
            </w:r>
          </w:p>
          <w:p w14:paraId="26B5BA32" w14:textId="77777777" w:rsidR="00C17CE8" w:rsidRDefault="00D62021">
            <w:pPr>
              <w:jc w:val="center"/>
            </w:pPr>
            <w:r>
              <w:rPr>
                <w:i/>
                <w:iCs/>
                <w:color w:val="374151"/>
                <w:sz w:val="20"/>
                <w:szCs w:val="20"/>
              </w:rPr>
              <w:t>This report represents the original collaborative work of the project team. All analytical methodologies, preprocessing decisions, model evaluations, and architectural recomme</w:t>
            </w:r>
            <w:r>
              <w:rPr>
                <w:i/>
                <w:iCs/>
                <w:color w:val="374151"/>
                <w:sz w:val="20"/>
                <w:szCs w:val="20"/>
              </w:rPr>
              <w:t>ndations presented herein were developed collectively by the team members and are submitted in partial fulfillment of the course requirements.</w:t>
            </w:r>
          </w:p>
          <w:p w14:paraId="24B4D3D4" w14:textId="77777777" w:rsidR="00C17CE8" w:rsidRDefault="00C17CE8"/>
          <w:p w14:paraId="482F2051" w14:textId="77777777" w:rsidR="00C17CE8" w:rsidRDefault="00D62021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Muhammad Imran     •     Muhammad Fawad Khan     •     Zubair Ansari     •     Malik Hasan     •     Abdur Rahee</w:t>
            </w:r>
            <w:r>
              <w:rPr>
                <w:b/>
                <w:bCs/>
                <w:color w:val="1B3A6B"/>
                <w:sz w:val="19"/>
                <w:szCs w:val="19"/>
              </w:rPr>
              <w:t>m</w:t>
            </w:r>
          </w:p>
        </w:tc>
      </w:tr>
    </w:tbl>
    <w:p w14:paraId="7F1CD999" w14:textId="77777777" w:rsidR="0072207C" w:rsidRDefault="0072207C"/>
    <w:sectPr w:rsidR="0072207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51855D" w14:textId="77777777" w:rsidR="00D62021" w:rsidRDefault="00D62021">
      <w:r>
        <w:separator/>
      </w:r>
    </w:p>
  </w:endnote>
  <w:endnote w:type="continuationSeparator" w:id="0">
    <w:p w14:paraId="580CEE13" w14:textId="77777777" w:rsidR="00D62021" w:rsidRDefault="00D62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522D97" w14:textId="46EECD52" w:rsidR="00C17CE8" w:rsidRDefault="00D62021">
    <w:pPr>
      <w:pBdr>
        <w:top w:val="single" w:sz="6" w:space="0" w:color="2E75B6"/>
      </w:pBdr>
      <w:spacing w:before="80"/>
    </w:pPr>
    <w:r>
      <w:rPr>
        <w:color w:val="374151"/>
        <w:sz w:val="16"/>
        <w:szCs w:val="16"/>
      </w:rPr>
      <w:t xml:space="preserve">Muhammad </w:t>
    </w:r>
    <w:proofErr w:type="gramStart"/>
    <w:r>
      <w:rPr>
        <w:color w:val="374151"/>
        <w:sz w:val="16"/>
        <w:szCs w:val="16"/>
      </w:rPr>
      <w:t>Imran  |</w:t>
    </w:r>
    <w:proofErr w:type="gramEnd"/>
    <w:r>
      <w:rPr>
        <w:color w:val="374151"/>
        <w:sz w:val="16"/>
        <w:szCs w:val="16"/>
      </w:rPr>
      <w:t xml:space="preserve">  Muhammad Fawad Khan  </w:t>
    </w:r>
    <w:r w:rsidR="006100AD">
      <w:rPr>
        <w:color w:val="374151"/>
        <w:sz w:val="16"/>
        <w:szCs w:val="16"/>
      </w:rPr>
      <w:t xml:space="preserve">|  </w:t>
    </w:r>
    <w:proofErr w:type="spellStart"/>
    <w:r w:rsidR="006100AD">
      <w:rPr>
        <w:color w:val="374151"/>
        <w:sz w:val="16"/>
        <w:szCs w:val="16"/>
      </w:rPr>
      <w:t>Zubair</w:t>
    </w:r>
    <w:proofErr w:type="spellEnd"/>
    <w:r w:rsidR="006100AD">
      <w:rPr>
        <w:color w:val="374151"/>
        <w:sz w:val="16"/>
        <w:szCs w:val="16"/>
      </w:rPr>
      <w:t xml:space="preserve"> Ansari  |  Muhammad </w:t>
    </w:r>
    <w:proofErr w:type="spellStart"/>
    <w:r w:rsidR="006100AD">
      <w:rPr>
        <w:color w:val="374151"/>
        <w:sz w:val="16"/>
        <w:szCs w:val="16"/>
      </w:rPr>
      <w:t>Hassaan</w:t>
    </w:r>
    <w:proofErr w:type="spellEnd"/>
    <w:r w:rsidR="006100AD">
      <w:rPr>
        <w:color w:val="374151"/>
        <w:sz w:val="16"/>
        <w:szCs w:val="16"/>
      </w:rPr>
      <w:t xml:space="preserve"> Malik</w:t>
    </w:r>
    <w:r>
      <w:rPr>
        <w:color w:val="374151"/>
        <w:sz w:val="16"/>
        <w:szCs w:val="16"/>
      </w:rPr>
      <w:t xml:space="preserve">  |  </w:t>
    </w:r>
    <w:proofErr w:type="spellStart"/>
    <w:r>
      <w:rPr>
        <w:color w:val="374151"/>
        <w:sz w:val="16"/>
        <w:szCs w:val="16"/>
      </w:rPr>
      <w:t>Abdur</w:t>
    </w:r>
    <w:proofErr w:type="spellEnd"/>
    <w:r>
      <w:rPr>
        <w:color w:val="374151"/>
        <w:sz w:val="16"/>
        <w:szCs w:val="16"/>
      </w:rPr>
      <w:t xml:space="preserve"> Raheem   –   Page </w:t>
    </w:r>
    <w:r>
      <w:rPr>
        <w:b/>
        <w:bCs/>
        <w:color w:val="2E75B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EBB682" w14:textId="77777777" w:rsidR="00D62021" w:rsidRDefault="00D62021">
      <w:r>
        <w:separator/>
      </w:r>
    </w:p>
  </w:footnote>
  <w:footnote w:type="continuationSeparator" w:id="0">
    <w:p w14:paraId="76724C29" w14:textId="77777777" w:rsidR="00D62021" w:rsidRDefault="00D620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D91F49" w14:textId="77777777" w:rsidR="00C17CE8" w:rsidRDefault="00D62021">
    <w:pPr>
      <w:pBdr>
        <w:bottom w:val="single" w:sz="6" w:space="0" w:color="2E75B6"/>
      </w:pBdr>
    </w:pPr>
    <w:r>
      <w:rPr>
        <w:b/>
        <w:bCs/>
        <w:color w:val="2E75B6"/>
        <w:sz w:val="18"/>
        <w:szCs w:val="18"/>
      </w:rPr>
      <w:t xml:space="preserve">Predictive Cardiovascular Risk Analytics System  |  </w:t>
    </w:r>
    <w:r>
      <w:rPr>
        <w:color w:val="374151"/>
        <w:sz w:val="18"/>
        <w:szCs w:val="18"/>
      </w:rPr>
      <w:t>Business &amp; Clinical Analytics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CE09A1"/>
    <w:multiLevelType w:val="hybridMultilevel"/>
    <w:tmpl w:val="2F30B5A0"/>
    <w:lvl w:ilvl="0" w:tplc="3AD2DD84">
      <w:start w:val="1"/>
      <w:numFmt w:val="bullet"/>
      <w:lvlText w:val="–"/>
      <w:lvlJc w:val="left"/>
      <w:pPr>
        <w:ind w:left="900" w:hanging="300"/>
      </w:pPr>
      <w:rPr>
        <w:rFonts w:ascii="Arial" w:eastAsia="Arial" w:hAnsi="Arial" w:cs="Arial"/>
        <w:sz w:val="20"/>
        <w:szCs w:val="20"/>
      </w:rPr>
    </w:lvl>
    <w:lvl w:ilvl="1" w:tplc="AD38A788">
      <w:numFmt w:val="decimal"/>
      <w:lvlText w:val=""/>
      <w:lvlJc w:val="left"/>
    </w:lvl>
    <w:lvl w:ilvl="2" w:tplc="BD4C9A26">
      <w:numFmt w:val="decimal"/>
      <w:lvlText w:val=""/>
      <w:lvlJc w:val="left"/>
    </w:lvl>
    <w:lvl w:ilvl="3" w:tplc="3DD43940">
      <w:numFmt w:val="decimal"/>
      <w:lvlText w:val=""/>
      <w:lvlJc w:val="left"/>
    </w:lvl>
    <w:lvl w:ilvl="4" w:tplc="AB30C9CE">
      <w:numFmt w:val="decimal"/>
      <w:lvlText w:val=""/>
      <w:lvlJc w:val="left"/>
    </w:lvl>
    <w:lvl w:ilvl="5" w:tplc="6298DD06">
      <w:numFmt w:val="decimal"/>
      <w:lvlText w:val=""/>
      <w:lvlJc w:val="left"/>
    </w:lvl>
    <w:lvl w:ilvl="6" w:tplc="E4E22E2E">
      <w:numFmt w:val="decimal"/>
      <w:lvlText w:val=""/>
      <w:lvlJc w:val="left"/>
    </w:lvl>
    <w:lvl w:ilvl="7" w:tplc="F5D8E55A">
      <w:numFmt w:val="decimal"/>
      <w:lvlText w:val=""/>
      <w:lvlJc w:val="left"/>
    </w:lvl>
    <w:lvl w:ilvl="8" w:tplc="3834A3D2">
      <w:numFmt w:val="decimal"/>
      <w:lvlText w:val=""/>
      <w:lvlJc w:val="left"/>
    </w:lvl>
  </w:abstractNum>
  <w:abstractNum w:abstractNumId="1">
    <w:nsid w:val="425F7E73"/>
    <w:multiLevelType w:val="hybridMultilevel"/>
    <w:tmpl w:val="916420CA"/>
    <w:lvl w:ilvl="0" w:tplc="658C09DA">
      <w:start w:val="1"/>
      <w:numFmt w:val="bullet"/>
      <w:lvlText w:val="▸"/>
      <w:lvlJc w:val="left"/>
      <w:pPr>
        <w:ind w:left="540" w:hanging="300"/>
      </w:pPr>
      <w:rPr>
        <w:rFonts w:ascii="Arial" w:eastAsia="Arial" w:hAnsi="Arial" w:cs="Arial"/>
        <w:sz w:val="21"/>
        <w:szCs w:val="21"/>
      </w:rPr>
    </w:lvl>
    <w:lvl w:ilvl="1" w:tplc="322E6486">
      <w:numFmt w:val="decimal"/>
      <w:lvlText w:val=""/>
      <w:lvlJc w:val="left"/>
    </w:lvl>
    <w:lvl w:ilvl="2" w:tplc="01684224">
      <w:numFmt w:val="decimal"/>
      <w:lvlText w:val=""/>
      <w:lvlJc w:val="left"/>
    </w:lvl>
    <w:lvl w:ilvl="3" w:tplc="B810CED6">
      <w:numFmt w:val="decimal"/>
      <w:lvlText w:val=""/>
      <w:lvlJc w:val="left"/>
    </w:lvl>
    <w:lvl w:ilvl="4" w:tplc="7778BB62">
      <w:numFmt w:val="decimal"/>
      <w:lvlText w:val=""/>
      <w:lvlJc w:val="left"/>
    </w:lvl>
    <w:lvl w:ilvl="5" w:tplc="4F6688AE">
      <w:numFmt w:val="decimal"/>
      <w:lvlText w:val=""/>
      <w:lvlJc w:val="left"/>
    </w:lvl>
    <w:lvl w:ilvl="6" w:tplc="00B6B046">
      <w:numFmt w:val="decimal"/>
      <w:lvlText w:val=""/>
      <w:lvlJc w:val="left"/>
    </w:lvl>
    <w:lvl w:ilvl="7" w:tplc="F244C68C">
      <w:numFmt w:val="decimal"/>
      <w:lvlText w:val=""/>
      <w:lvlJc w:val="left"/>
    </w:lvl>
    <w:lvl w:ilvl="8" w:tplc="70A030D4">
      <w:numFmt w:val="decimal"/>
      <w:lvlText w:val=""/>
      <w:lvlJc w:val="left"/>
    </w:lvl>
  </w:abstractNum>
  <w:abstractNum w:abstractNumId="2">
    <w:nsid w:val="71367149"/>
    <w:multiLevelType w:val="hybridMultilevel"/>
    <w:tmpl w:val="D144ABA4"/>
    <w:lvl w:ilvl="0" w:tplc="339692AE">
      <w:start w:val="1"/>
      <w:numFmt w:val="bullet"/>
      <w:lvlText w:val="●"/>
      <w:lvlJc w:val="left"/>
      <w:pPr>
        <w:ind w:left="720" w:hanging="360"/>
      </w:pPr>
    </w:lvl>
    <w:lvl w:ilvl="1" w:tplc="C422D492">
      <w:start w:val="1"/>
      <w:numFmt w:val="bullet"/>
      <w:lvlText w:val="○"/>
      <w:lvlJc w:val="left"/>
      <w:pPr>
        <w:ind w:left="1440" w:hanging="360"/>
      </w:pPr>
    </w:lvl>
    <w:lvl w:ilvl="2" w:tplc="74AEA9AC">
      <w:start w:val="1"/>
      <w:numFmt w:val="bullet"/>
      <w:lvlText w:val="■"/>
      <w:lvlJc w:val="left"/>
      <w:pPr>
        <w:ind w:left="2160" w:hanging="360"/>
      </w:pPr>
    </w:lvl>
    <w:lvl w:ilvl="3" w:tplc="A48873C6">
      <w:start w:val="1"/>
      <w:numFmt w:val="bullet"/>
      <w:lvlText w:val="●"/>
      <w:lvlJc w:val="left"/>
      <w:pPr>
        <w:ind w:left="2880" w:hanging="360"/>
      </w:pPr>
    </w:lvl>
    <w:lvl w:ilvl="4" w:tplc="F0A0BA06">
      <w:start w:val="1"/>
      <w:numFmt w:val="bullet"/>
      <w:lvlText w:val="○"/>
      <w:lvlJc w:val="left"/>
      <w:pPr>
        <w:ind w:left="3600" w:hanging="360"/>
      </w:pPr>
    </w:lvl>
    <w:lvl w:ilvl="5" w:tplc="13AE3942">
      <w:start w:val="1"/>
      <w:numFmt w:val="bullet"/>
      <w:lvlText w:val="■"/>
      <w:lvlJc w:val="left"/>
      <w:pPr>
        <w:ind w:left="4320" w:hanging="360"/>
      </w:pPr>
    </w:lvl>
    <w:lvl w:ilvl="6" w:tplc="2C8C4964">
      <w:start w:val="1"/>
      <w:numFmt w:val="bullet"/>
      <w:lvlText w:val="●"/>
      <w:lvlJc w:val="left"/>
      <w:pPr>
        <w:ind w:left="5040" w:hanging="360"/>
      </w:pPr>
    </w:lvl>
    <w:lvl w:ilvl="7" w:tplc="D74AAB0A">
      <w:start w:val="1"/>
      <w:numFmt w:val="bullet"/>
      <w:lvlText w:val="●"/>
      <w:lvlJc w:val="left"/>
      <w:pPr>
        <w:ind w:left="5760" w:hanging="360"/>
      </w:pPr>
    </w:lvl>
    <w:lvl w:ilvl="8" w:tplc="4776D1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CE8"/>
    <w:rsid w:val="00017EC7"/>
    <w:rsid w:val="006100AD"/>
    <w:rsid w:val="0072207C"/>
    <w:rsid w:val="00C17CE8"/>
    <w:rsid w:val="00D62021"/>
    <w:rsid w:val="00D8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07EC"/>
  <w15:docId w15:val="{0CF52B6B-869C-40C2-A31D-468526D1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0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0AD"/>
  </w:style>
  <w:style w:type="paragraph" w:styleId="Footer">
    <w:name w:val="footer"/>
    <w:basedOn w:val="Normal"/>
    <w:link w:val="FooterChar"/>
    <w:uiPriority w:val="99"/>
    <w:unhideWhenUsed/>
    <w:rsid w:val="00610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2397</Words>
  <Characters>13665</Characters>
  <Application>Microsoft Office Word</Application>
  <DocSecurity>0</DocSecurity>
  <Lines>113</Lines>
  <Paragraphs>32</Paragraphs>
  <ScaleCrop>false</ScaleCrop>
  <Company/>
  <LinksUpToDate>false</LinksUpToDate>
  <CharactersWithSpaces>16030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2026-05-29T16:52:00Z</dcterms:created>
  <dcterms:modified xsi:type="dcterms:W3CDTF">2026-05-30T06:24:00Z</dcterms:modified>
</cp:coreProperties>
</file>