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 4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«Поиск аналогов, выбор прототипа»</w:t>
      </w:r>
    </w:p>
    <w:p w:rsidR="00000000" w:rsidDel="00000000" w:rsidP="00000000" w:rsidRDefault="00000000" w:rsidRPr="00000000" w14:paraId="00000003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практической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аналоги по выбранной теме учебной практики.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аналоги сайта (сервиса, системы) в сети Интернет. Количество аналогов, но не менее 7.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ключевые критерии для сравнения (не менее 20), к примеру функциональные возможности.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таблицу 2.</w:t>
      </w:r>
    </w:p>
    <w:p w:rsidR="00000000" w:rsidDel="00000000" w:rsidP="00000000" w:rsidRDefault="00000000" w:rsidRPr="00000000" w14:paraId="00000008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– Сравнение аналогов</w:t>
      </w:r>
    </w:p>
    <w:tbl>
      <w:tblPr>
        <w:tblStyle w:val="Table1"/>
        <w:tblW w:w="9978.0" w:type="dxa"/>
        <w:jc w:val="center"/>
        <w:tblLayout w:type="fixed"/>
        <w:tblLook w:val="0400"/>
      </w:tblPr>
      <w:tblGrid>
        <w:gridCol w:w="1512"/>
        <w:gridCol w:w="990"/>
        <w:gridCol w:w="900"/>
        <w:gridCol w:w="1228"/>
        <w:gridCol w:w="1283"/>
        <w:gridCol w:w="1331"/>
        <w:gridCol w:w="1367"/>
        <w:gridCol w:w="1367"/>
        <w:tblGridChange w:id="0">
          <w:tblGrid>
            <w:gridCol w:w="1512"/>
            <w:gridCol w:w="990"/>
            <w:gridCol w:w="900"/>
            <w:gridCol w:w="1228"/>
            <w:gridCol w:w="1283"/>
            <w:gridCol w:w="1331"/>
            <w:gridCol w:w="1367"/>
            <w:gridCol w:w="1367"/>
          </w:tblGrid>
        </w:tblGridChange>
      </w:tblGrid>
      <w:tr>
        <w:trPr>
          <w:trHeight w:val="42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Habr.com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adme.ru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lifehacker.ru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sz w:val="20"/>
                <w:szCs w:val="20"/>
                <w:rtl w:val="0"/>
              </w:rPr>
              <w:t xml:space="preserve">foma.ru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psychologies.ru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arzamas.academy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ind w:left="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naked-science.ru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Создание своей статьи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Реклама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8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Комментарии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Категории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Рейтинг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8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Удобство дизайна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8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Скорость загрузки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8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Запоминающийся домен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8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Форматирование статьи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8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1134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