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Aptos" w:hAnsi="Aptos"/>
          <w:b/>
          <w:i w:val="0"/>
          <w:color w:val="0B7A75"/>
          <w:sz w:val="18"/>
        </w:rPr>
        <w:t>VISIONCART MVP DOCUMENT PACK</w:t>
      </w:r>
    </w:p>
    <w:p>
      <w:pPr>
        <w:pStyle w:val="Title"/>
        <w:jc w:val="left"/>
      </w:pPr>
      <w:r>
        <w:t>3D Asset Specification, QA &amp; Roadmap</w:t>
      </w:r>
    </w:p>
    <w:p>
      <w:pPr>
        <w:pStyle w:val="Subtitle"/>
      </w:pPr>
      <w:r>
        <w:t>Mobile-ready models, metadata, anchors, validation and future scanning research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Project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VisionCart (Working product name - replace before public launch)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VC-ASSET-005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18 July 2026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3D artists, technical artists, mobile engineers, backend, QA and catalog operations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5A7A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This document captures agreed MVP decisions from product discovery. It is a controlled baseline, not a promise that every experimental capability will ship in the first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Note"/>
      </w:pPr>
      <w:r>
        <w:rPr>
          <w:i/>
        </w:rPr>
        <w:t>Use Word's Navigation Pane to jump through the numbered headings.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1. Asset Strategy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2. Package Structure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3. Geometry and Coordinate Standard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4. Materials and Textures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5. Category Budgets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6. Anchor and Pivot Requirements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7. Metadata Schema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8. Processing Pipeline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9. Validation and QA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10. Licensing and Governance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11. Product-Scanning R&amp;D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12. Asset Delivery Roadmap</w:t>
      </w:r>
    </w:p>
    <w:p>
      <w:r>
        <w:br w:type="page"/>
      </w:r>
    </w:p>
    <w:p>
      <w:pPr>
        <w:pStyle w:val="Heading1"/>
      </w:pPr>
      <w:r>
        <w:t>1. Asset Strategy</w:t>
      </w:r>
    </w:p>
    <w:p>
      <w:r>
        <w:t>Every published product variant must have a controlled, versioned 3D package. A visually attractive model is not sufficient: real dimensions, orientation, pivots, category anchors, mobile performance, license evidence, and platform runtime variants are mandatory.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7A75"/>
                <w:sz w:val="20"/>
              </w:rPr>
              <w:t>Source-of-truth decision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Use glTF 2.0 binary (.glb) as the canonical interchange/source asset. Produce a RealityKit-compatible USDZ/USD derivative for iOS and an optimized GLB runtime asset for Android. Never edit runtime derivatives manually; regenerate them from the approved source package.</w:t>
            </w:r>
          </w:p>
        </w:tc>
      </w:tr>
    </w:tbl>
    <w:p>
      <w:pPr>
        <w:spacing w:after="0"/>
      </w:pPr>
    </w:p>
    <w:p>
      <w:pPr>
        <w:pStyle w:val="Heading1"/>
      </w:pPr>
      <w:r>
        <w:t>2. Package Structure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asset-package/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source/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product_master.blend       # optional editable source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product_source.glb         # approved canonical asset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runtime/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ios/product_v004.usdz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android/product_v004.glb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textures/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basecolor.webp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normal.webp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orm.webp                    # occlusion / roughness / metallic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transmission.webp           # only when required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metadata/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product.json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anchors.json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validation.json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license.json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└── previews/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├── thumbnail.webp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└── turntable.mp4               # optional internal QA</w:t>
      </w:r>
    </w:p>
    <w:p>
      <w:pPr>
        <w:pStyle w:val="Heading1"/>
      </w:pPr>
      <w:r>
        <w:t>3. Geometry and Coordinate Standard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Rule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Coordinate system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Canonical GLB follows glTF: right-handed, +Y up, +Z forward; front of asset faces +Z.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Units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All canonical geometry uses meters. Product metadata also records human-readable millimeter dimensions.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Origin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Category-defined attachment pivot at or near world origin; transforms applied/frozen before export.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Scale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Object scale should be 1,1,1 after applying transforms; real dimensions verified against reference.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Rotation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Default rotation should be identity after normalization; platform conversion handles coordinate differences.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Mesh quality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non-manifold geometry, duplicate faces, unintended holes, reversed normals or hidden high-poly objects.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Hierarchy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Predictable node names; no cameras, lights, helper geometry or unused animations in runtime assets.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Variants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Color/material variants reuse geometry where possible and are independently versioned.</w:t>
            </w:r>
          </w:p>
        </w:tc>
      </w:tr>
    </w:tbl>
    <w:p>
      <w:pPr>
        <w:spacing w:after="20"/>
      </w:pPr>
    </w:p>
    <w:p>
      <w:pPr>
        <w:pStyle w:val="Heading1"/>
      </w:pPr>
      <w:r>
        <w:t>4. Materials and Textures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physically based metallic-roughness materials compatible with glTF 2.0.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Prefer a packed occlusion/roughness/metallic texture when the runtime pipeline supports it.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1K textures by default; 2K only when close-up testing proves visible benefit. Avoid 4K in MVP assets.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transparent/transmission materials sparingly. Glasses lenses must be tested on both renderers because blending differs.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Avoid baked environment reflections tied to one scene; use renderer lighting and neutral material values.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Diamonds and gemstones should use an MVP-appropriate approximation rather than expensive multi-bounce optical simulation.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compressed image formats supported by the asset pipeline, and generate platform-safe fallbacks when required.</w:t>
      </w:r>
    </w:p>
    <w:p>
      <w:pPr>
        <w:pStyle w:val="Heading1"/>
      </w:pPr>
      <w:r>
        <w:t>5. Category Budgets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158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Triangle target</w:t>
            </w:r>
          </w:p>
        </w:tc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Texture target</w:t>
            </w:r>
          </w:p>
        </w:tc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Runtime file target</w:t>
            </w:r>
          </w:p>
        </w:tc>
        <w:tc>
          <w:tcPr>
            <w:tcW w:type="dxa" w:w="266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Glasses / sunglasses</w:t>
            </w:r>
          </w:p>
        </w:tc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8k-30k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1K; optional 2K hero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&lt;= 8 MB</w:t>
            </w:r>
          </w:p>
        </w:tc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Thin temples and lens material need careful topology.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Watch</w:t>
            </w:r>
          </w:p>
        </w:tc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15k-45k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1K-2K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&lt;= 12 MB</w:t>
            </w:r>
          </w:p>
        </w:tc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Avoid hidden movement internals; simplify strap underside.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Ring</w:t>
            </w:r>
          </w:p>
        </w:tc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5k-20k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1K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&lt;= 6 MB</w:t>
            </w:r>
          </w:p>
        </w:tc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Preserve silhouette and gemstone setting; small asset needs clean normals.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Earring pair</w:t>
            </w:r>
          </w:p>
        </w:tc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5k-25k total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1K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&lt;= 7 MB</w:t>
            </w:r>
          </w:p>
        </w:tc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Separate left/right nodes or mirrored-safe geometry.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 pin</w:t>
            </w:r>
          </w:p>
        </w:tc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2k-12k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512-1K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&lt;= 4 MB</w:t>
            </w:r>
          </w:p>
        </w:tc>
        <w:tc>
          <w:tcPr>
            <w:tcW w:type="dxa" w:w="266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Small silhouette and highlight behavior matter more than dense geometry.</w:t>
            </w:r>
          </w:p>
        </w:tc>
      </w:tr>
    </w:tbl>
    <w:p>
      <w:pPr>
        <w:spacing w:after="20"/>
      </w:pPr>
    </w:p>
    <w:p>
      <w:r>
        <w:t>These are starting budgets, not absolute truths. QA may approve a larger asset when it delivers visible value and still meets device performance targets.</w:t>
      </w:r>
    </w:p>
    <w:p>
      <w:pPr>
        <w:pStyle w:val="Heading1"/>
      </w:pPr>
      <w:r>
        <w:t>6. Anchor and Pivot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525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nodes / anchors</w:t>
            </w:r>
          </w:p>
        </w:tc>
        <w:tc>
          <w:tcPr>
            <w:tcW w:type="dxa" w:w="259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Default pivot concept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Glasses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frame_root, bridge_anchor, left_temple, right_temple, lens nodes where separate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Center of bridge aligned to face-forward axis.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Watch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watch_root, dial_center, strap_axis, optional clasp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Center of case on wrist contact plane.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Ring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ring_root, ring_center, band_axis, optional gem_center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Center of inner ring opening; band axis aligned to finger.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Earrings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earring_left_root, earring_right_root or mirror-safe single root, hook/post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Attachment post at origin; vertical drop on local axis.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 pin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nose_pin_root, attachment_point, gem_center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Skin contact point at origin; outward normal defined.</w:t>
            </w:r>
          </w:p>
        </w:tc>
      </w:tr>
    </w:tbl>
    <w:p>
      <w:pPr>
        <w:spacing w:after="20"/>
      </w:pPr>
    </w:p>
    <w:p>
      <w:pPr>
        <w:pStyle w:val="Heading2"/>
      </w:pPr>
      <w:r>
        <w:t>6.1 Naming rules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 lowercase snake_case for stable runtime node names.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Do not depend on Blender-generated suffixes such as .001.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Required anchor names are validated before asset approval.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Material names should describe function and variant, not artist workspace history.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Changing an anchor name or coordinate requires a new asset version and matching AnchorProfile version.</w:t>
      </w:r>
    </w:p>
    <w:p>
      <w:pPr>
        <w:pStyle w:val="Heading1"/>
      </w:pPr>
      <w:r>
        <w:t>7. Metadata Schema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"schemaVersion": 1,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"assetVersion": 4,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"productId": "prod_123",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"variantId": "var_black",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"category": "glasses",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"dimensionsMm":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"width": 142.0,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"height": 48.0,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"depth": 145.0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"source":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"format": "glb",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"sha256": "...",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"coordinateSystem": "gltf_y_up_z_forward",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"linearUnit": "meter"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"runtime":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"ios": { "format": "usdz", "sha256": "...", "sizeBytes": 4123456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"android": { "format": "glb", "sha256": "...", "sizeBytes": 3567890 }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"anchors":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"root": "frame_root",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"primary": "bridge_anchor",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"left": "left_temple",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"right": "right_temple"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"defaultTransform":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"positionM": [0, 0.002, 0.006],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"rotationDeg": [0, 0, 0],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"scale": 1.0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"adjustmentLimits":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"scale": [0.85, 1.15],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"positionMm": { "x": [-8, 8], "y": [-8, 8], "z": [-10, 10] }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"licenseId": "license_abc",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"status": "approved"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}</w:t>
      </w:r>
    </w:p>
    <w:p>
      <w:pPr>
        <w:pStyle w:val="Heading1"/>
      </w:pPr>
      <w:r>
        <w:t>8. Processing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4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F6B76"/>
          <w:sz w:val="17"/>
        </w:rPr>
        <w:t>Figure 1 - Controlled asset preparation and publication pipeline.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Acquire source model and record creator, source URL/file, license, permitted use and proof.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Open in Blender or approved DCC tool; remove extra objects and normalize scale, orientation and origin.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Measure against real product dimensions or trusted manufacturer specifications.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Retopologize/decimate while preserving silhouette; repair normals, UVs and material assignments.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Create required anchor nodes and category metadata.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Export canonical GLB and run Khronos glTF validation.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Generate iOS USDZ and Android optimized GLB derivatives using a reproducible script/toolchain.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Run automated file, texture, naming, dimension, checksum and extension validation.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Preview on representative iOS and Android devices inside the actual try-on engine.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10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Approve and publish immutable versioned assets to object storage/CDN.</w:t>
            </w:r>
          </w:p>
        </w:tc>
      </w:tr>
    </w:tbl>
    <w:p>
      <w:pPr>
        <w:spacing w:after="0"/>
      </w:pPr>
    </w:p>
    <w:p>
      <w:pPr>
        <w:pStyle w:val="Heading1"/>
      </w:pPr>
      <w:r>
        <w:t>9. Validation and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7703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Checks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Legal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License recorded, commercial use allowed, attribution requirements known, no trademark misuse.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File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Expected format, checksum, size, no missing external resources, no unsupported extension.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Geometry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Triangle budget, transforms applied, no broken normals/non-manifold defects, bounds sensible.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Dimensions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Measured width/height/depth match metadata within agreed tolerance.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Anchors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 node names exist and align with real attachment points.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Materials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black/missing textures, excessive transparency, or platform-inconsistent appearance.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Performance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Load time, FPS and memory pass device-tier benchmark.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Visual placement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Looks correct at neutral pose and during movement; manual adjustment remains bounded.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Regression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Approved screenshots/turntable compared after pipeline or engine changes.</w:t>
            </w:r>
          </w:p>
        </w:tc>
      </w:tr>
    </w:tbl>
    <w:p>
      <w:pPr>
        <w:spacing w:after="20"/>
      </w:pPr>
    </w:p>
    <w:p>
      <w:pPr>
        <w:pStyle w:val="Heading2"/>
      </w:pPr>
      <w:r>
        <w:t>9.1 Asset status workflow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draft -&gt; technical_review -&gt; device_qa -&gt; approved -&gt; published -&gt; deprecated</w:t>
      </w:r>
    </w:p>
    <w:p>
      <w:pPr>
        <w:pStyle w:val="Heading1"/>
      </w:pPr>
      <w:r>
        <w:t>10. Licensing and Governance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 downloadable model is not automatically permitted for commercial redistribution. Verify the individual asset license.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Store license evidence with the asset version: receipt, license text, creator attribution, source and date acquired.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Do not use recognizable luxury-brand models, logos, trade dress, or product names without authorization.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Prototype-only assets must be marked and blocked from production publication.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When an asset is replaced or revoked, deprecate the version and invalidate its public delivery URL where feasible.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Every transformation or derivative remains linked to its original source and license record.</w:t>
      </w:r>
    </w:p>
    <w:p>
      <w:pPr>
        <w:pStyle w:val="Heading1"/>
      </w:pPr>
      <w:r>
        <w:t>11. Product-Scanning R&amp;D</w:t>
      </w:r>
    </w:p>
    <w:p>
      <w:r>
        <w:t>The future "scan a physical product and try it" feature requires a separate pipeline. The result of photogrammetry or neural reconstruction is not automatically a try-on-ready asset.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Research step</w:t>
            </w:r>
          </w:p>
        </w:tc>
        <w:tc>
          <w:tcPr>
            <w:tcW w:type="dxa" w:w="74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Question / acceptance signal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 UX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Can an ordinary user collect enough coverage in a shop without moving the product or causing blur?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Reconstruction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Can rigid accessories be reconstructed with usable thin parts, reflections and transparent regions?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Scale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Can real-world dimensions be recovered or must the user provide a reference object/measurement?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Cleanup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How much automated hole repair, retopology, texture cleanup and material inference is reliable?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Anchors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Can category attachment points be generated automatically and verified?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Latency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Is the total processing wait acceptable for an in-store use case?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Cost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What is the cost per successful, approved model including failed scans and GPU time?</w:t>
            </w:r>
          </w:p>
        </w:tc>
      </w:tr>
      <w:tr>
        <w:tc>
          <w:tcPr>
            <w:tcW w:type="dxa" w:w="201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Rights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Does the user have permission to digitize and store the physical product?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>Recommended R&amp;D order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Begin scanning research with a larger rigid object such as a watch, then glasses, ring, earrings, and finally nose pins. Small reflective and transparent objects are the hardest.</w:t>
            </w:r>
          </w:p>
        </w:tc>
      </w:tr>
    </w:tbl>
    <w:p>
      <w:pPr>
        <w:spacing w:after="0"/>
      </w:pPr>
    </w:p>
    <w:p>
      <w:pPr>
        <w:pStyle w:val="Heading1"/>
      </w:pPr>
      <w:r>
        <w:t>12. Asset Delivery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Milestone</w:t>
            </w:r>
          </w:p>
        </w:tc>
        <w:tc>
          <w:tcPr>
            <w:tcW w:type="dxa" w:w="324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Target asset set</w:t>
            </w:r>
          </w:p>
        </w:tc>
        <w:tc>
          <w:tcPr>
            <w:tcW w:type="dxa" w:w="403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Exit criterion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A0 - Engine samples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1 asset per category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Loads and renders in platform prototype.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A1 - Vertical slice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 glasses + 2 watches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Dimensions, anchors and materials validated on both platforms.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A2 - Hand categories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 watches + 3 rings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Hand/wrist/finger placement and performance accepted.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A3 - Small face accessories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 earring sets + 3 nose pins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Small-object stability and calibration accepted.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A4 - MVP catalog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Minimum 3 approved assets per category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All license, QA and publication gates pass.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A5 - Beta expansion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10+ assets per category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Pipeline handles variants and repeatable artist delivery.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Official Format Reference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R1. </w:t>
      </w:r>
      <w:hyperlink r:id="rId12">
        <w:r>
          <w:rPr>
            <w:color w:val="0563C1"/>
            <w:u w:val="single"/>
            <w:rFonts w:ascii="Aptos" w:hAnsi="Aptos"/>
            <w:sz w:val="18"/>
          </w:rPr>
          <w:t>Khronos glTF 2.0 Specification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Coordinate system, units, nodes, materials and binary GLB standard.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R2. </w:t>
      </w:r>
      <w:hyperlink r:id="rId13">
        <w:r>
          <w:rPr>
            <w:color w:val="0563C1"/>
            <w:u w:val="single"/>
            <w:rFonts w:ascii="Aptos" w:hAnsi="Aptos"/>
            <w:sz w:val="18"/>
          </w:rPr>
          <w:t>Khronos glTF Overview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Runtime 3D asset delivery and ecosystem.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R3. </w:t>
      </w:r>
      <w:hyperlink r:id="rId14">
        <w:r>
          <w:rPr>
            <w:color w:val="0563C1"/>
            <w:u w:val="single"/>
            <w:rFonts w:ascii="Aptos" w:hAnsi="Aptos"/>
            <w:sz w:val="18"/>
          </w:rPr>
          <w:t>Google Filament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Android GLB/PBR runtime reference used by the recommended renderer.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R4. </w:t>
      </w:r>
      <w:hyperlink r:id="rId15">
        <w:r>
          <w:rPr>
            <w:color w:val="0563C1"/>
            <w:u w:val="single"/>
            <w:rFonts w:ascii="Aptos" w:hAnsi="Aptos"/>
            <w:sz w:val="18"/>
          </w:rPr>
          <w:t>Apple RealityKit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iOS 3D and AR runtime used by the recommended renderer.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5F6B76"/>
              <w:sz w:val="16"/>
            </w:rPr>
            <w:t>Working Draft - Internal Product &amp; Engineering Use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6"/>
              <w:sz w:val="17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F6B76"/>
        <w:sz w:val="16"/>
      </w:rPr>
      <w:t>VisionCart  |  VC-ASSET-005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7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E252B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egistry.khronos.org/glTF/specs/2.0/glTF-2.0.html" TargetMode="External"/><Relationship Id="rId13" Type="http://schemas.openxmlformats.org/officeDocument/2006/relationships/hyperlink" Target="https://www.khronos.org/gltf/" TargetMode="External"/><Relationship Id="rId14" Type="http://schemas.openxmlformats.org/officeDocument/2006/relationships/hyperlink" Target="https://github.com/google/filament" TargetMode="External"/><Relationship Id="rId15" Type="http://schemas.openxmlformats.org/officeDocument/2006/relationships/hyperlink" Target="https://developer.apple.com/documentation/reality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VisionCart 3D Asset Specification, QA and Roadmap</dc:title>
  <dc:subject>3D asset standard and delivery roadmap</dc:subject>
  <dc:creator>VisionCart Product Team</dc:creator>
  <cp:keywords>VisionCart, virtual try-on, AR, React Native, iOS, Android, MVP</cp:keywords>
  <dc:description>Working draft v1.0</dc:description>
  <cp:lastModifiedBy/>
  <cp:revision>1</cp:revision>
  <dcterms:created xsi:type="dcterms:W3CDTF">2026-07-18T12:00:00Z</dcterms:created>
  <dcterms:modified xsi:type="dcterms:W3CDTF">2026-07-18T12:00:00Z</dcterms:modified>
  <cp:category/>
</cp:coreProperties>
</file>