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F4E79"/>
          <w:sz w:val="40"/>
          <w:szCs w:val="40"/>
        </w:rPr>
        <w:t xml:space="preserve">BUSINESS REQUIREMENTS DOCUMENT</w:t>
      </w:r>
    </w:p>
    <w:p>
      <w:pPr>
        <w:spacing w:after="0" w:before="120"/>
      </w:pPr>
      <w:r>
        <w:t xml:space="preserve"/>
      </w:r>
    </w:p>
    <w:p>
      <w:pPr>
        <w:jc w:val="center"/>
      </w:pPr>
      <w:r>
        <w:rPr>
          <w:rFonts w:ascii="Arial" w:cs="Arial" w:eastAsia="Arial" w:hAnsi="Arial"/>
          <w:b/>
          <w:bCs/>
          <w:color w:val="2E75B6"/>
          <w:sz w:val="36"/>
          <w:szCs w:val="36"/>
        </w:rPr>
        <w:t xml:space="preserve">E-Commerce Sales Analysis Platform</w:t>
      </w:r>
    </w:p>
    <w:p>
      <w:pPr>
        <w:spacing w:after="0" w:before="200"/>
      </w:pPr>
      <w:r>
        <w:t xml:space="preserve"/>
      </w:r>
    </w:p>
    <w:p>
      <w:pPr>
        <w:pBdr>
          <w:bottom w:val="single" w:color="2E75B6" w:sz="12" w:space="4"/>
        </w:pBdr>
        <w:jc w:val="center"/>
      </w:pPr>
      <w:r>
        <w:rPr>
          <w:rFonts w:ascii="Arial" w:cs="Arial" w:eastAsia="Arial" w:hAnsi="Arial"/>
          <w:sz w:val="22"/>
          <w:szCs w:val="22"/>
        </w:rPr>
        <w:t xml:space="preserve"/>
      </w:r>
    </w:p>
    <w:p>
      <w:pPr>
        <w:spacing w:after="0" w:before="300"/>
      </w:pPr>
      <w:r>
        <w:t xml:space="preserve"/>
      </w:r>
    </w:p>
    <w:p>
      <w:pPr>
        <w:jc w:val="center"/>
      </w:pPr>
      <w:r>
        <w:rPr>
          <w:rFonts w:ascii="Arial" w:cs="Arial" w:eastAsia="Arial" w:hAnsi="Arial"/>
          <w:b/>
          <w:bCs/>
          <w:color w:val="1A1A1A"/>
          <w:sz w:val="24"/>
          <w:szCs w:val="24"/>
        </w:rPr>
        <w:t xml:space="preserve">Prepared by: Mohammad Haseeb</w:t>
      </w:r>
    </w:p>
    <w:p>
      <w:pPr>
        <w:spacing w:after="0" w:before="80"/>
      </w:pPr>
      <w:r>
        <w:t xml:space="preserve"/>
      </w:r>
    </w:p>
    <w:p>
      <w:pPr>
        <w:jc w:val="center"/>
      </w:pPr>
      <w:r>
        <w:rPr>
          <w:rFonts w:ascii="Arial" w:cs="Arial" w:eastAsia="Arial" w:hAnsi="Arial"/>
          <w:color w:val="1A1A1A"/>
          <w:sz w:val="22"/>
          <w:szCs w:val="22"/>
        </w:rPr>
        <w:t xml:space="preserve">Document Version: 1.0</w:t>
      </w:r>
    </w:p>
    <w:p>
      <w:pPr>
        <w:spacing w:after="0" w:before="80"/>
      </w:pPr>
      <w:r>
        <w:t xml:space="preserve"/>
      </w:r>
    </w:p>
    <w:p>
      <w:pPr>
        <w:jc w:val="center"/>
      </w:pPr>
      <w:r>
        <w:rPr>
          <w:rFonts w:ascii="Arial" w:cs="Arial" w:eastAsia="Arial" w:hAnsi="Arial"/>
          <w:color w:val="1A1A1A"/>
          <w:sz w:val="22"/>
          <w:szCs w:val="22"/>
        </w:rPr>
        <w:t xml:space="preserve">Date: April 2026</w:t>
      </w:r>
    </w:p>
    <w:p>
      <w:pPr>
        <w:spacing w:after="0" w:before="80"/>
      </w:pPr>
      <w:r>
        <w:t xml:space="preserve"/>
      </w:r>
    </w:p>
    <w:p>
      <w:pPr>
        <w:jc w:val="center"/>
      </w:pPr>
      <w:r>
        <w:rPr>
          <w:rFonts w:ascii="Arial" w:cs="Arial" w:eastAsia="Arial" w:hAnsi="Arial"/>
          <w:b/>
          <w:bCs/>
          <w:color w:val="C00000"/>
          <w:sz w:val="22"/>
          <w:szCs w:val="22"/>
        </w:rPr>
        <w:t xml:space="preserve">Status: Final</w:t>
      </w:r>
    </w:p>
    <w:p>
      <w:pPr>
        <w:spacing w:after="0" w:before="600"/>
      </w:pPr>
      <w:r>
        <w:t xml:space="preserve"/>
      </w:r>
    </w:p>
    <w:p>
      <w:pPr>
        <w:pBdr>
          <w:top w:val="single" w:color="2E75B6" w:sz="4"/>
          <w:bottom w:val="single" w:color="2E75B6" w:sz="4"/>
        </w:pBdr>
        <w:shd w:fill="D6E4F0" w:val="clear"/>
        <w:spacing w:after="100" w:before="100"/>
        <w:jc w:val="center"/>
      </w:pPr>
      <w:r>
        <w:rPr>
          <w:rFonts w:ascii="Arial" w:cs="Arial" w:eastAsia="Arial" w:hAnsi="Arial"/>
          <w:b/>
          <w:bCs/>
          <w:color w:val="1F4E79"/>
          <w:sz w:val="18"/>
          <w:szCs w:val="18"/>
        </w:rPr>
        <w:t xml:space="preserve">CONFIDENTIAL — FOR INTERNAL USE ONLY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Document Control</w:t>
      </w:r>
    </w:p>
    <w:p>
      <w:pPr>
        <w:pStyle w:val="Heading2"/>
        <w:spacing w:after="120" w:before="280"/>
      </w:pPr>
      <w:r>
        <w:rPr>
          <w:rFonts w:ascii="Arial" w:cs="Arial" w:eastAsia="Arial" w:hAnsi="Arial"/>
          <w:b/>
          <w:bCs/>
          <w:color w:val="2E75B6"/>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rPr>
          <w:tblHeader/>
        </w:trPr>
        <w:tc>
          <w:tcPr>
            <w:tcW w:type="dxa" w:w="15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6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April 2026</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 Haseeb</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Initial BRD release</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34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234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Signature</w:t>
            </w:r>
          </w:p>
        </w:tc>
        <w:tc>
          <w:tcPr>
            <w:tcW w:type="dxa" w:w="234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r>
      <w:tr>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Business Analyst</w:t>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Mohammad Haseeb</w:t>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April 2026</w:t>
            </w:r>
          </w:p>
        </w:tc>
      </w:tr>
      <w:tr>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Project Sponsor</w:t>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r>
      <w:tr>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 Engineering Lead</w:t>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3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r>
      <w:tr>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Analytics Manager</w:t>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34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Name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E-Commerce Sales Analysis Platform</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Document Type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Business Requirements Document (BRD)</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Document Owner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Mohammad Haseeb, Business Analyst</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Business Sponsor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TBD</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Target Audience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Business Stakeholders, Data Engineers, Analytics Team, Product Management</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Related Documents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Technical Design Document, Data Dictionary, Jira Epics (E-COMM-001 to E-COMM-012)</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Repository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GitHub — version-controlled SQL &amp; documentation repository</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Confluence Space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E-Commerce Analytics / BRD v1.0</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Executive Summary</w:t>
      </w:r>
    </w:p>
    <w:p>
      <w:pPr>
        <w:spacing w:after="100" w:before="80"/>
      </w:pPr>
      <w:r>
        <w:rPr>
          <w:rFonts w:ascii="Arial" w:cs="Arial" w:eastAsia="Arial" w:hAnsi="Arial"/>
          <w:color w:val="1A1A1A"/>
          <w:sz w:val="22"/>
          <w:szCs w:val="22"/>
        </w:rPr>
        <w:t xml:space="preserve">This Business Requirements Document (BRD) defines the analytical requirements, scope, objectives, and success criteria for the E-Commerce Sales Analysis Platform. The initiative is designed to transform more than 100,000 raw transactional records—spanning nine normalized relational tables—into decision-grade business intelligence.</w:t>
      </w:r>
    </w:p>
    <w:p>
      <w:pPr>
        <w:spacing w:after="0" w:before="80"/>
      </w:pPr>
      <w:r>
        <w:t xml:space="preserve"/>
      </w:r>
    </w:p>
    <w:p>
      <w:pPr>
        <w:spacing w:after="100" w:before="80"/>
      </w:pPr>
      <w:r>
        <w:rPr>
          <w:rFonts w:ascii="Arial" w:cs="Arial" w:eastAsia="Arial" w:hAnsi="Arial"/>
          <w:color w:val="1A1A1A"/>
          <w:sz w:val="22"/>
          <w:szCs w:val="22"/>
        </w:rPr>
        <w:t xml:space="preserve">The organization currently lacks a unified, repeatable, and auditable process for deriving revenue, logistics, customer, and payment insights from its e-commerce operations. Business decisions are largely driven by intuition or fragmented, one-off analyses, resulting in missed opportunities to optimize inventory, reduce delivery delays, and improve customer retention.</w:t>
      </w:r>
    </w:p>
    <w:p>
      <w:pPr>
        <w:spacing w:after="0" w:before="80"/>
      </w:pPr>
      <w:r>
        <w:t xml:space="preserve"/>
      </w:r>
    </w:p>
    <w:p>
      <w:pPr>
        <w:spacing w:after="100" w:before="80"/>
      </w:pPr>
      <w:r>
        <w:rPr>
          <w:rFonts w:ascii="Arial" w:cs="Arial" w:eastAsia="Arial" w:hAnsi="Arial"/>
          <w:color w:val="1A1A1A"/>
          <w:sz w:val="22"/>
          <w:szCs w:val="22"/>
        </w:rPr>
        <w:t xml:space="preserve">This project addresses that gap by establishing a structured SQL-based analytics pipeline, governed by version control (Git), tracked in Jira, and documented in Confluence. Key outputs include eight analytical modules covering revenue trends, customer lifetime value, logistics performance, payment mix, and seller benchmarking.</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Problem Statement</w:t>
      </w:r>
    </w:p>
    <w:p>
      <w:pPr>
        <w:spacing w:after="100" w:before="80"/>
      </w:pPr>
      <w:r>
        <w:rPr>
          <w:rFonts w:ascii="Arial" w:cs="Arial" w:eastAsia="Arial" w:hAnsi="Arial"/>
          <w:color w:val="1A1A1A"/>
          <w:sz w:val="22"/>
          <w:szCs w:val="22"/>
        </w:rPr>
        <w:t xml:space="preserve">The e-commerce business generates high-volume transactional data across orders, customers, products, payments, and logistics—yet no integrated analytics framework exists to synthesize these data streams into actionable intelligence. The consequences include:</w:t>
      </w:r>
    </w:p>
    <w:p>
      <w:pPr>
        <w:pStyle w:val="ListParagraph"/>
        <w:numPr>
          <w:ilvl w:val="0"/>
          <w:numId w:val="2"/>
        </w:numPr>
        <w:spacing w:after="60" w:before="60"/>
      </w:pPr>
      <w:r>
        <w:rPr>
          <w:rFonts w:ascii="Arial" w:cs="Arial" w:eastAsia="Arial" w:hAnsi="Arial"/>
          <w:color w:val="1A1A1A"/>
          <w:sz w:val="22"/>
          <w:szCs w:val="22"/>
        </w:rPr>
        <w:t xml:space="preserve">Revenue concentration risk is unmonitored — 23% of revenue is concentrated in just two product categories with no early-warning mechanism for stockouts or demand shifts.</w:t>
      </w:r>
    </w:p>
    <w:p>
      <w:pPr>
        <w:pStyle w:val="ListParagraph"/>
        <w:numPr>
          <w:ilvl w:val="0"/>
          <w:numId w:val="2"/>
        </w:numPr>
        <w:spacing w:after="60" w:before="60"/>
      </w:pPr>
      <w:r>
        <w:rPr>
          <w:rFonts w:ascii="Arial" w:cs="Arial" w:eastAsia="Arial" w:hAnsi="Arial"/>
          <w:color w:val="1A1A1A"/>
          <w:sz w:val="22"/>
          <w:szCs w:val="22"/>
        </w:rPr>
        <w:t xml:space="preserve">Logistics performance is opaque — a 4.2-day average delivery delay in at least one region has been identified but not systematically tracked or attributed to root causes.</w:t>
      </w:r>
    </w:p>
    <w:p>
      <w:pPr>
        <w:pStyle w:val="ListParagraph"/>
        <w:numPr>
          <w:ilvl w:val="0"/>
          <w:numId w:val="2"/>
        </w:numPr>
        <w:spacing w:after="60" w:before="60"/>
      </w:pPr>
      <w:r>
        <w:rPr>
          <w:rFonts w:ascii="Arial" w:cs="Arial" w:eastAsia="Arial" w:hAnsi="Arial"/>
          <w:color w:val="1A1A1A"/>
          <w:sz w:val="22"/>
          <w:szCs w:val="22"/>
        </w:rPr>
        <w:t xml:space="preserve">Customer value is not segmented — high-LTV customers receive no differentiated retention treatment, leaving revenue vulnerable to churn.</w:t>
      </w:r>
    </w:p>
    <w:p>
      <w:pPr>
        <w:pStyle w:val="ListParagraph"/>
        <w:numPr>
          <w:ilvl w:val="0"/>
          <w:numId w:val="2"/>
        </w:numPr>
        <w:spacing w:after="60" w:before="60"/>
      </w:pPr>
      <w:r>
        <w:rPr>
          <w:rFonts w:ascii="Arial" w:cs="Arial" w:eastAsia="Arial" w:hAnsi="Arial"/>
          <w:color w:val="1A1A1A"/>
          <w:sz w:val="22"/>
          <w:szCs w:val="22"/>
        </w:rPr>
        <w:t xml:space="preserve">Payment dynamics are not leveraged — the relationship between payment method and order value or conversion probability is unmeasured.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Proposed Solution</w:t>
      </w:r>
    </w:p>
    <w:p>
      <w:pPr>
        <w:spacing w:after="100" w:before="80"/>
      </w:pPr>
      <w:r>
        <w:rPr>
          <w:rFonts w:ascii="Arial" w:cs="Arial" w:eastAsia="Arial" w:hAnsi="Arial"/>
          <w:color w:val="1A1A1A"/>
          <w:sz w:val="22"/>
          <w:szCs w:val="22"/>
        </w:rPr>
        <w:t xml:space="preserve">Deploy a modular SQL analytics platform that covers the full customer and order lifecycle, supported by structured documentation, version-controlled code, and a Jira-tracked implementation roadmap. The platform will produce reproducible KPI outputs and create the foundation for future BI dashboard integration and predictive analytics.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Business Objectives and Goals</w:t>
      </w:r>
    </w:p>
    <w:p>
      <w:pPr>
        <w:pStyle w:val="Heading2"/>
        <w:spacing w:after="120" w:before="280"/>
      </w:pPr>
      <w:r>
        <w:rPr>
          <w:rFonts w:ascii="Arial" w:cs="Arial" w:eastAsia="Arial" w:hAnsi="Arial"/>
          <w:b/>
          <w:bCs/>
          <w:color w:val="2E75B6"/>
          <w:sz w:val="26"/>
          <w:szCs w:val="26"/>
        </w:rPr>
        <w:t xml:space="preserve">Strategic Objectives</w:t>
      </w:r>
    </w:p>
    <w:p>
      <w:pPr>
        <w:spacing w:after="100" w:before="80"/>
      </w:pPr>
      <w:r>
        <w:rPr>
          <w:rFonts w:ascii="Arial" w:cs="Arial" w:eastAsia="Arial" w:hAnsi="Arial"/>
          <w:color w:val="1A1A1A"/>
          <w:sz w:val="22"/>
          <w:szCs w:val="22"/>
        </w:rPr>
        <w:t xml:space="preserve">The following strategic objectives govern the scope and prioritization of this initiative: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3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Objective</w:t>
            </w:r>
          </w:p>
        </w:tc>
        <w:tc>
          <w:tcPr>
            <w:tcW w:type="dxa" w:w="43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Indicator</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Shift from intuition-based to data-driven decision making</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key business decisions reference BRD-defined KPIs</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Identify and mitigate revenue concentration risk</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Top-2 category revenue share monitored monthly; reorder alerts in place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Reduce logistics delays and improve SLA compliance</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Regional delivery delay reduced from 4.2 days to ≤2 days within 2 quarters</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Improve customer retention through LTV-based segmentation</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High-LTV segment enrolled in loyalty program; churn rate reduced by 10%</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Optimize payment processing and conversion</w:t>
            </w:r>
          </w:p>
        </w:tc>
        <w:tc>
          <w:tcPr>
            <w:tcW w:type="dxa" w:w="43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Preferred payment surfaces identified; AOV uplift of ≥5% within 1 quarter</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Establish a repeatable, auditable analytics pipeline</w:t>
            </w:r>
          </w:p>
        </w:tc>
        <w:tc>
          <w:tcPr>
            <w:tcW w:type="dxa" w:w="43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All SQL modules version-controlled; runbook enables new-analyst onboarding within 1 day</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Business KPIs and Definitions</w:t>
      </w:r>
    </w:p>
    <w:p>
      <w:pPr>
        <w:spacing w:after="100" w:before="80"/>
      </w:pPr>
      <w:r>
        <w:rPr>
          <w:rFonts w:ascii="Arial" w:cs="Arial" w:eastAsia="Arial" w:hAnsi="Arial"/>
          <w:color w:val="1A1A1A"/>
          <w:sz w:val="22"/>
          <w:szCs w:val="22"/>
        </w:rPr>
        <w:t xml:space="preserve">All analytics modules are anchored to the following formally defined KPIs. Any deviation in calculation methodology must be approved and documented in Confluence.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3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 Baseline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Gross Revenue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SUM(price + freight_value) for delivered/shipped orders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Baseline: TBD from initial run</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Average Order Value (AOV)</w:t>
            </w:r>
          </w:p>
        </w:tc>
        <w:tc>
          <w:tcPr>
            <w:tcW w:type="dxa" w:w="41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Gross Revenue ÷ count of delivered orders</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Target: ≥5% QoQ growth</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Repeat Purchase Rate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Customers with 2+ orders ÷ total customers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increase by 8% within 2 quarters</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Customer LTV</w:t>
            </w:r>
          </w:p>
        </w:tc>
        <w:tc>
          <w:tcPr>
            <w:tcW w:type="dxa" w:w="41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Cumulative gross revenue per customer across all delivered orders</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Segmentation thresholds defined post-baseline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On-Time Delivery Rate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Orders delivered on or before estimated date ÷ total delivered</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≥92%</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Average Delivery Delay</w:t>
            </w:r>
          </w:p>
        </w:tc>
        <w:tc>
          <w:tcPr>
            <w:tcW w:type="dxa" w:w="41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Mean of (actual delivered date − estimated delivered date) in days</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Target: ≤2.0 days; Current: 4.2 days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CSAT Proxy (Review Score)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Average review_score; track p50 and p90 for tail risk</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p50 ≥ 4.0; p90 ≥ 4.5</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Scope</w:t>
      </w:r>
    </w:p>
    <w:p>
      <w:pPr>
        <w:pStyle w:val="Heading2"/>
        <w:spacing w:after="120" w:before="280"/>
      </w:pPr>
      <w:r>
        <w:rPr>
          <w:rFonts w:ascii="Arial" w:cs="Arial" w:eastAsia="Arial" w:hAnsi="Arial"/>
          <w:b/>
          <w:bCs/>
          <w:color w:val="2E75B6"/>
          <w:sz w:val="26"/>
          <w:szCs w:val="26"/>
        </w:rPr>
        <w:t xml:space="preserve">In-Scope</w:t>
      </w:r>
    </w:p>
    <w:p>
      <w:pPr>
        <w:pStyle w:val="ListParagraph"/>
        <w:numPr>
          <w:ilvl w:val="0"/>
          <w:numId w:val="2"/>
        </w:numPr>
        <w:spacing w:after="60" w:before="60"/>
      </w:pPr>
      <w:r>
        <w:rPr>
          <w:rFonts w:ascii="Arial" w:cs="Arial" w:eastAsia="Arial" w:hAnsi="Arial"/>
          <w:color w:val="1A1A1A"/>
          <w:sz w:val="22"/>
          <w:szCs w:val="22"/>
        </w:rPr>
        <w:t xml:space="preserve">Analysis of 100,000+ e-commerce orders stored across nine relational tables: Customers, Sellers, Products, Orders, Order Items, Order Payments, Order Reviews, Geolocation, Product Category Translation.</w:t>
      </w:r>
    </w:p>
    <w:p>
      <w:pPr>
        <w:pStyle w:val="ListParagraph"/>
        <w:numPr>
          <w:ilvl w:val="0"/>
          <w:numId w:val="2"/>
        </w:numPr>
        <w:spacing w:after="60" w:before="60"/>
      </w:pPr>
      <w:r>
        <w:rPr>
          <w:rFonts w:ascii="Arial" w:cs="Arial" w:eastAsia="Arial" w:hAnsi="Arial"/>
          <w:color w:val="1A1A1A"/>
          <w:sz w:val="22"/>
          <w:szCs w:val="22"/>
        </w:rPr>
        <w:t xml:space="preserve">Development of eight SQL analytical modules: revenue by category, monthly trend/seasonality, customer LTV &amp; cohort analysis, payment mix analysis, delivery lead time &amp; delay diagnostics, review score impact analysis, basket composition &amp; cross-sell patterns, seller performance benchmarking.</w:t>
      </w:r>
    </w:p>
    <w:p>
      <w:pPr>
        <w:pStyle w:val="ListParagraph"/>
        <w:numPr>
          <w:ilvl w:val="0"/>
          <w:numId w:val="2"/>
        </w:numPr>
        <w:spacing w:after="60" w:before="60"/>
      </w:pPr>
      <w:r>
        <w:rPr>
          <w:rFonts w:ascii="Arial" w:cs="Arial" w:eastAsia="Arial" w:hAnsi="Arial"/>
          <w:color w:val="1A1A1A"/>
          <w:sz w:val="22"/>
          <w:szCs w:val="22"/>
        </w:rPr>
        <w:t xml:space="preserve">Data quality validation: schema conformance, referential integrity, null/outlier handling, date logic checks, deduplication, and cross-ledger reconciliation.</w:t>
      </w:r>
    </w:p>
    <w:p>
      <w:pPr>
        <w:pStyle w:val="ListParagraph"/>
        <w:numPr>
          <w:ilvl w:val="0"/>
          <w:numId w:val="2"/>
        </w:numPr>
        <w:spacing w:after="60" w:before="60"/>
      </w:pPr>
      <w:r>
        <w:rPr>
          <w:rFonts w:ascii="Arial" w:cs="Arial" w:eastAsia="Arial" w:hAnsi="Arial"/>
          <w:color w:val="1A1A1A"/>
          <w:sz w:val="22"/>
          <w:szCs w:val="22"/>
        </w:rPr>
        <w:t xml:space="preserve">Structured BRD and methodology documentation in Confluence.</w:t>
      </w:r>
    </w:p>
    <w:p>
      <w:pPr>
        <w:pStyle w:val="ListParagraph"/>
        <w:numPr>
          <w:ilvl w:val="0"/>
          <w:numId w:val="2"/>
        </w:numPr>
        <w:spacing w:after="60" w:before="60"/>
      </w:pPr>
      <w:r>
        <w:rPr>
          <w:rFonts w:ascii="Arial" w:cs="Arial" w:eastAsia="Arial" w:hAnsi="Arial"/>
          <w:color w:val="1A1A1A"/>
          <w:sz w:val="22"/>
          <w:szCs w:val="22"/>
        </w:rPr>
        <w:t xml:space="preserve">Version-controlled GitHub repository with SQL, documentation, data dictionary, and change history.</w:t>
      </w:r>
    </w:p>
    <w:p>
      <w:pPr>
        <w:pStyle w:val="ListParagraph"/>
        <w:numPr>
          <w:ilvl w:val="0"/>
          <w:numId w:val="2"/>
        </w:numPr>
        <w:spacing w:after="60" w:before="60"/>
      </w:pPr>
      <w:r>
        <w:rPr>
          <w:rFonts w:ascii="Arial" w:cs="Arial" w:eastAsia="Arial" w:hAnsi="Arial"/>
          <w:color w:val="1A1A1A"/>
          <w:sz w:val="22"/>
          <w:szCs w:val="22"/>
        </w:rPr>
        <w:t xml:space="preserve">Jira epics and user stories for all recommended implementation tasks.</w:t>
      </w:r>
    </w:p>
    <w:p>
      <w:pPr>
        <w:pStyle w:val="ListParagraph"/>
        <w:numPr>
          <w:ilvl w:val="0"/>
          <w:numId w:val="2"/>
        </w:numPr>
        <w:spacing w:after="60" w:before="60"/>
      </w:pPr>
      <w:r>
        <w:rPr>
          <w:rFonts w:ascii="Arial" w:cs="Arial" w:eastAsia="Arial" w:hAnsi="Arial"/>
          <w:color w:val="1A1A1A"/>
          <w:sz w:val="22"/>
          <w:szCs w:val="22"/>
        </w:rPr>
        <w:t xml:space="preserve">Operational runbook enabling analyst onboarding and refresh execution.</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Out-of-Scope</w:t>
      </w:r>
    </w:p>
    <w:p>
      <w:pPr>
        <w:pStyle w:val="ListParagraph"/>
        <w:numPr>
          <w:ilvl w:val="0"/>
          <w:numId w:val="2"/>
        </w:numPr>
        <w:spacing w:after="60" w:before="60"/>
      </w:pPr>
      <w:r>
        <w:rPr>
          <w:rFonts w:ascii="Arial" w:cs="Arial" w:eastAsia="Arial" w:hAnsi="Arial"/>
          <w:color w:val="1A1A1A"/>
          <w:sz w:val="22"/>
          <w:szCs w:val="22"/>
        </w:rPr>
        <w:t xml:space="preserve">Real-time or near-real-time data ingestion pipelines (deferred to Phase 2).</w:t>
      </w:r>
    </w:p>
    <w:p>
      <w:pPr>
        <w:pStyle w:val="ListParagraph"/>
        <w:numPr>
          <w:ilvl w:val="0"/>
          <w:numId w:val="2"/>
        </w:numPr>
        <w:spacing w:after="60" w:before="60"/>
      </w:pPr>
      <w:r>
        <w:rPr>
          <w:rFonts w:ascii="Arial" w:cs="Arial" w:eastAsia="Arial" w:hAnsi="Arial"/>
          <w:color w:val="1A1A1A"/>
          <w:sz w:val="22"/>
          <w:szCs w:val="22"/>
        </w:rPr>
        <w:t xml:space="preserve">BI dashboard development in Power BI or Tableau (identified as a future enhancement).</w:t>
      </w:r>
    </w:p>
    <w:p>
      <w:pPr>
        <w:pStyle w:val="ListParagraph"/>
        <w:numPr>
          <w:ilvl w:val="0"/>
          <w:numId w:val="2"/>
        </w:numPr>
        <w:spacing w:after="60" w:before="60"/>
      </w:pPr>
      <w:r>
        <w:rPr>
          <w:rFonts w:ascii="Arial" w:cs="Arial" w:eastAsia="Arial" w:hAnsi="Arial"/>
          <w:color w:val="1A1A1A"/>
          <w:sz w:val="22"/>
          <w:szCs w:val="22"/>
        </w:rPr>
        <w:t xml:space="preserve">Predictive or machine learning models for demand forecasting or churn propensity (deferred to Phase 3).</w:t>
      </w:r>
    </w:p>
    <w:p>
      <w:pPr>
        <w:pStyle w:val="ListParagraph"/>
        <w:numPr>
          <w:ilvl w:val="0"/>
          <w:numId w:val="2"/>
        </w:numPr>
        <w:spacing w:after="60" w:before="60"/>
      </w:pPr>
      <w:r>
        <w:rPr>
          <w:rFonts w:ascii="Arial" w:cs="Arial" w:eastAsia="Arial" w:hAnsi="Arial"/>
          <w:color w:val="1A1A1A"/>
          <w:sz w:val="22"/>
          <w:szCs w:val="22"/>
        </w:rPr>
        <w:t xml:space="preserve">Data warehouse or cloud infrastructure provisioning.</w:t>
      </w:r>
    </w:p>
    <w:p>
      <w:pPr>
        <w:pStyle w:val="ListParagraph"/>
        <w:numPr>
          <w:ilvl w:val="0"/>
          <w:numId w:val="2"/>
        </w:numPr>
        <w:spacing w:after="60" w:before="60"/>
      </w:pPr>
      <w:r>
        <w:rPr>
          <w:rFonts w:ascii="Arial" w:cs="Arial" w:eastAsia="Arial" w:hAnsi="Arial"/>
          <w:color w:val="1A1A1A"/>
          <w:sz w:val="22"/>
          <w:szCs w:val="22"/>
        </w:rPr>
        <w:t xml:space="preserve">Customer-facing product or experience changes.</w:t>
      </w:r>
    </w:p>
    <w:p>
      <w:pPr>
        <w:pStyle w:val="ListParagraph"/>
        <w:numPr>
          <w:ilvl w:val="0"/>
          <w:numId w:val="2"/>
        </w:numPr>
        <w:spacing w:after="60" w:before="60"/>
      </w:pPr>
      <w:r>
        <w:rPr>
          <w:rFonts w:ascii="Arial" w:cs="Arial" w:eastAsia="Arial" w:hAnsi="Arial"/>
          <w:color w:val="1A1A1A"/>
          <w:sz w:val="22"/>
          <w:szCs w:val="22"/>
        </w:rPr>
        <w:t xml:space="preserve">Integration with ERP, CRM, or marketing automation systems.</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Assumptions</w:t>
      </w:r>
    </w:p>
    <w:p>
      <w:pPr>
        <w:pStyle w:val="ListParagraph"/>
        <w:numPr>
          <w:ilvl w:val="0"/>
          <w:numId w:val="2"/>
        </w:numPr>
        <w:spacing w:after="60" w:before="60"/>
      </w:pPr>
      <w:r>
        <w:rPr>
          <w:rFonts w:ascii="Arial" w:cs="Arial" w:eastAsia="Arial" w:hAnsi="Arial"/>
          <w:color w:val="1A1A1A"/>
          <w:sz w:val="22"/>
          <w:szCs w:val="22"/>
        </w:rPr>
        <w:t xml:space="preserve">Source data in all nine tables is accurate and complete for the analysis period.</w:t>
      </w:r>
    </w:p>
    <w:p>
      <w:pPr>
        <w:pStyle w:val="ListParagraph"/>
        <w:numPr>
          <w:ilvl w:val="0"/>
          <w:numId w:val="2"/>
        </w:numPr>
        <w:spacing w:after="60" w:before="60"/>
      </w:pPr>
      <w:r>
        <w:rPr>
          <w:rFonts w:ascii="Arial" w:cs="Arial" w:eastAsia="Arial" w:hAnsi="Arial"/>
          <w:color w:val="1A1A1A"/>
          <w:sz w:val="22"/>
          <w:szCs w:val="22"/>
        </w:rPr>
        <w:t xml:space="preserve">Access to the production database (read-only) or full data extract is granted to the analytics team.</w:t>
      </w:r>
    </w:p>
    <w:p>
      <w:pPr>
        <w:pStyle w:val="ListParagraph"/>
        <w:numPr>
          <w:ilvl w:val="0"/>
          <w:numId w:val="2"/>
        </w:numPr>
        <w:spacing w:after="60" w:before="60"/>
      </w:pPr>
      <w:r>
        <w:rPr>
          <w:rFonts w:ascii="Arial" w:cs="Arial" w:eastAsia="Arial" w:hAnsi="Arial"/>
          <w:color w:val="1A1A1A"/>
          <w:sz w:val="22"/>
          <w:szCs w:val="22"/>
        </w:rPr>
        <w:t xml:space="preserve">Stakeholders will review and sign off on KPI definitions prior to module development.</w:t>
      </w:r>
    </w:p>
    <w:p>
      <w:pPr>
        <w:pStyle w:val="ListParagraph"/>
        <w:numPr>
          <w:ilvl w:val="0"/>
          <w:numId w:val="2"/>
        </w:numPr>
        <w:spacing w:after="60" w:before="60"/>
      </w:pPr>
      <w:r>
        <w:rPr>
          <w:rFonts w:ascii="Arial" w:cs="Arial" w:eastAsia="Arial" w:hAnsi="Arial"/>
          <w:color w:val="1A1A1A"/>
          <w:sz w:val="22"/>
          <w:szCs w:val="22"/>
        </w:rPr>
        <w:t xml:space="preserve">Jira and Confluence are the approved tools for tracking and documentation respectively.</w:t>
      </w:r>
    </w:p>
    <w:p>
      <w:pPr>
        <w:pStyle w:val="ListParagraph"/>
        <w:numPr>
          <w:ilvl w:val="0"/>
          <w:numId w:val="2"/>
        </w:numPr>
        <w:spacing w:after="60" w:before="60"/>
      </w:pPr>
      <w:r>
        <w:rPr>
          <w:rFonts w:ascii="Arial" w:cs="Arial" w:eastAsia="Arial" w:hAnsi="Arial"/>
          <w:color w:val="1A1A1A"/>
          <w:sz w:val="22"/>
          <w:szCs w:val="22"/>
        </w:rPr>
        <w:t xml:space="preserve">GitHub repository permissions are configured to enforce branch protection on main.</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Constraints</w:t>
      </w:r>
    </w:p>
    <w:p>
      <w:pPr>
        <w:pStyle w:val="ListParagraph"/>
        <w:numPr>
          <w:ilvl w:val="0"/>
          <w:numId w:val="2"/>
        </w:numPr>
        <w:spacing w:after="60" w:before="60"/>
      </w:pPr>
      <w:r>
        <w:rPr>
          <w:rFonts w:ascii="Arial" w:cs="Arial" w:eastAsia="Arial" w:hAnsi="Arial"/>
          <w:color w:val="1A1A1A"/>
          <w:sz w:val="22"/>
          <w:szCs w:val="22"/>
        </w:rPr>
        <w:t xml:space="preserve">No additional infrastructure spend is approved for this phase of the project.</w:t>
      </w:r>
    </w:p>
    <w:p>
      <w:pPr>
        <w:pStyle w:val="ListParagraph"/>
        <w:numPr>
          <w:ilvl w:val="0"/>
          <w:numId w:val="2"/>
        </w:numPr>
        <w:spacing w:after="60" w:before="60"/>
      </w:pPr>
      <w:r>
        <w:rPr>
          <w:rFonts w:ascii="Arial" w:cs="Arial" w:eastAsia="Arial" w:hAnsi="Arial"/>
          <w:color w:val="1A1A1A"/>
          <w:sz w:val="22"/>
          <w:szCs w:val="22"/>
        </w:rPr>
        <w:t xml:space="preserve">All analytical outputs must be reproducible using only the provided nine-table schema.</w:t>
      </w:r>
    </w:p>
    <w:p>
      <w:pPr>
        <w:pStyle w:val="ListParagraph"/>
        <w:numPr>
          <w:ilvl w:val="0"/>
          <w:numId w:val="2"/>
        </w:numPr>
        <w:spacing w:after="60" w:before="60"/>
      </w:pPr>
      <w:r>
        <w:rPr>
          <w:rFonts w:ascii="Arial" w:cs="Arial" w:eastAsia="Arial" w:hAnsi="Arial"/>
          <w:color w:val="1A1A1A"/>
          <w:sz w:val="22"/>
          <w:szCs w:val="22"/>
        </w:rPr>
        <w:t xml:space="preserve">SQL dialect must remain compatible with the existing database platform.</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Stakeholders</w:t>
      </w:r>
    </w:p>
    <w:p>
      <w:pPr>
        <w:pStyle w:val="Heading2"/>
        <w:spacing w:after="120" w:before="280"/>
      </w:pPr>
      <w:r>
        <w:rPr>
          <w:rFonts w:ascii="Arial" w:cs="Arial" w:eastAsia="Arial" w:hAnsi="Arial"/>
          <w:b/>
          <w:bCs/>
          <w:color w:val="2E75B6"/>
          <w:sz w:val="26"/>
          <w:szCs w:val="26"/>
        </w:rPr>
        <w:t xml:space="preserve">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80"/>
        <w:gridCol w:w="1580"/>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Stakeholder</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Interest</w:t>
            </w:r>
          </w:p>
        </w:tc>
        <w:tc>
          <w:tcPr>
            <w:tcW w:type="dxa" w:w="15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Influence</w:t>
            </w:r>
          </w:p>
        </w:tc>
        <w:tc>
          <w:tcPr>
            <w:tcW w:type="dxa" w:w="15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Engagement</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Mohammad Haseeb</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Business Analyst / Author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Deliver compliant, reproducible analysis</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Driver</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Business Sponsor</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Executive / Decision Maker</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ROI, strategic insight quality</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Approver</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Analytics Manager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Analytics Leadership</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Methodology, KPI consistency</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Reviewer</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Data Engineering Lead</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Engineering</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Data pipeline integrity, schema governance</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Consulted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Logistics Manager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Operations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Delivery performance insights</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Informed</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Marketing / CRM Team</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Customer Engagement</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LTV segmentation, retention targeting</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5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Informed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 Management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 performance, payment UX</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Low–Medium</w:t>
            </w:r>
          </w:p>
        </w:tc>
        <w:tc>
          <w:tcPr>
            <w:tcW w:type="dxa" w:w="1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Informed</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Dataset and Data Model</w:t>
      </w:r>
    </w:p>
    <w:p>
      <w:pPr>
        <w:pStyle w:val="Heading2"/>
        <w:spacing w:after="120" w:before="280"/>
      </w:pPr>
      <w:r>
        <w:rPr>
          <w:rFonts w:ascii="Arial" w:cs="Arial" w:eastAsia="Arial" w:hAnsi="Arial"/>
          <w:b/>
          <w:bCs/>
          <w:color w:val="2E75B6"/>
          <w:sz w:val="26"/>
          <w:szCs w:val="26"/>
        </w:rPr>
        <w:t xml:space="preserve">Source Tables</w:t>
      </w:r>
    </w:p>
    <w:p>
      <w:pPr>
        <w:spacing w:after="100" w:before="80"/>
      </w:pPr>
      <w:r>
        <w:rPr>
          <w:rFonts w:ascii="Arial" w:cs="Arial" w:eastAsia="Arial" w:hAnsi="Arial"/>
          <w:color w:val="1A1A1A"/>
          <w:sz w:val="22"/>
          <w:szCs w:val="22"/>
        </w:rPr>
        <w:t xml:space="preserve">The analysis operates on nine normalized relational tables representing the full e-commerce transaction lifecycle. All tables participate in well-defined JOIN relationships governed by primary and foreign key constraints.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Table</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Key</w:t>
            </w:r>
          </w:p>
        </w:tc>
        <w:tc>
          <w:tcPr>
            <w:tcW w:type="dxa" w:w="3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Relationships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customer_id</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Referenced by Orders</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Orders</w:t>
            </w:r>
          </w:p>
        </w:tc>
        <w:tc>
          <w:tcPr>
            <w:tcW w:type="dxa" w:w="3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order_id</w:t>
            </w:r>
          </w:p>
        </w:tc>
        <w:tc>
          <w:tcPr>
            <w:tcW w:type="dxa" w:w="3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Links to Customers, Order Items, Payments, Reviews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 Items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order_id + item_seq</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Links to Orders, Products, Sellers</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Order Payments</w:t>
            </w:r>
          </w:p>
        </w:tc>
        <w:tc>
          <w:tcPr>
            <w:tcW w:type="dxa" w:w="3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order_id + seq</w:t>
            </w:r>
          </w:p>
        </w:tc>
        <w:tc>
          <w:tcPr>
            <w:tcW w:type="dxa" w:w="3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Links to Orders; supports installment normalization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 Reviews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review_id</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Links to Orders; may contain duplicate entries</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Products</w:t>
            </w:r>
          </w:p>
        </w:tc>
        <w:tc>
          <w:tcPr>
            <w:tcW w:type="dxa" w:w="3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product_id</w:t>
            </w:r>
          </w:p>
        </w:tc>
        <w:tc>
          <w:tcPr>
            <w:tcW w:type="dxa" w:w="3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Links to Order Items, Category Translation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Sellers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seller_id</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Links to Order Items, Geolocation</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Geolocation</w:t>
            </w:r>
          </w:p>
        </w:tc>
        <w:tc>
          <w:tcPr>
            <w:tcW w:type="dxa" w:w="3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zip_code_prefix</w:t>
            </w:r>
          </w:p>
        </w:tc>
        <w:tc>
          <w:tcPr>
            <w:tcW w:type="dxa" w:w="3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Links to Customers and Sellers by ZIP</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 Category Translation</w:t>
            </w:r>
          </w:p>
        </w:tc>
        <w:tc>
          <w:tcPr>
            <w:tcW w:type="dxa" w:w="3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category_name</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Translates Portuguese category names to English</w:t>
            </w:r>
          </w:p>
        </w:tc>
      </w:tr>
    </w:tbl>
    <w:p>
      <w:pPr>
        <w:spacing w:after="0" w:before="180"/>
      </w:pPr>
      <w:r>
        <w:t xml:space="preserve"/>
      </w:r>
    </w:p>
    <w:p>
      <w:pPr>
        <w:pStyle w:val="Heading2"/>
        <w:spacing w:after="120" w:before="280"/>
      </w:pPr>
      <w:r>
        <w:rPr>
          <w:rFonts w:ascii="Arial" w:cs="Arial" w:eastAsia="Arial" w:hAnsi="Arial"/>
          <w:b/>
          <w:bCs/>
          <w:color w:val="2E75B6"/>
          <w:sz w:val="26"/>
          <w:szCs w:val="26"/>
        </w:rPr>
        <w:t xml:space="preserve">Data Quality Requirements</w:t>
      </w:r>
    </w:p>
    <w:p>
      <w:pPr>
        <w:pStyle w:val="Heading3"/>
        <w:spacing w:after="100" w:before="200"/>
      </w:pPr>
      <w:r>
        <w:rPr>
          <w:rFonts w:ascii="Arial" w:cs="Arial" w:eastAsia="Arial" w:hAnsi="Arial"/>
          <w:b/>
          <w:bCs/>
          <w:color w:val="1A1A1A"/>
          <w:sz w:val="24"/>
          <w:szCs w:val="24"/>
        </w:rPr>
        <w:t xml:space="preserve">Validation Rules</w:t>
      </w:r>
    </w:p>
    <w:p>
      <w:pPr>
        <w:pStyle w:val="ListParagraph"/>
        <w:numPr>
          <w:ilvl w:val="0"/>
          <w:numId w:val="2"/>
        </w:numPr>
        <w:spacing w:after="60" w:before="60"/>
      </w:pPr>
      <w:r>
        <w:rPr>
          <w:rFonts w:ascii="Arial" w:cs="Arial" w:eastAsia="Arial" w:hAnsi="Arial"/>
          <w:color w:val="1A1A1A"/>
          <w:sz w:val="22"/>
          <w:szCs w:val="22"/>
        </w:rPr>
        <w:t xml:space="preserve">Schema conformance: primary key uniqueness and referential integrity verified for all nine tables prior to analytical processing.</w:t>
      </w:r>
    </w:p>
    <w:p>
      <w:pPr>
        <w:pStyle w:val="ListParagraph"/>
        <w:numPr>
          <w:ilvl w:val="0"/>
          <w:numId w:val="2"/>
        </w:numPr>
        <w:spacing w:after="60" w:before="60"/>
      </w:pPr>
      <w:r>
        <w:rPr>
          <w:rFonts w:ascii="Arial" w:cs="Arial" w:eastAsia="Arial" w:hAnsi="Arial"/>
          <w:color w:val="1A1A1A"/>
          <w:sz w:val="22"/>
          <w:szCs w:val="22"/>
        </w:rPr>
        <w:t xml:space="preserve">Null handling: NULL freight_value and price fields must be flagged and excluded from revenue aggregations; zero-price items require business review before inclusion.</w:t>
      </w:r>
    </w:p>
    <w:p>
      <w:pPr>
        <w:pStyle w:val="ListParagraph"/>
        <w:numPr>
          <w:ilvl w:val="0"/>
          <w:numId w:val="2"/>
        </w:numPr>
        <w:spacing w:after="60" w:before="60"/>
      </w:pPr>
      <w:r>
        <w:rPr>
          <w:rFonts w:ascii="Arial" w:cs="Arial" w:eastAsia="Arial" w:hAnsi="Arial"/>
          <w:color w:val="1A1A1A"/>
          <w:sz w:val="22"/>
          <w:szCs w:val="22"/>
        </w:rPr>
        <w:t xml:space="preserve">Date logic: order_purchase_timestamp must be ≤ order_delivered_customer_date for all delivered orders; violations are flagged and quarantined.</w:t>
      </w:r>
    </w:p>
    <w:p>
      <w:pPr>
        <w:pStyle w:val="ListParagraph"/>
        <w:numPr>
          <w:ilvl w:val="0"/>
          <w:numId w:val="2"/>
        </w:numPr>
        <w:spacing w:after="60" w:before="60"/>
      </w:pPr>
      <w:r>
        <w:rPr>
          <w:rFonts w:ascii="Arial" w:cs="Arial" w:eastAsia="Arial" w:hAnsi="Arial"/>
          <w:color w:val="1A1A1A"/>
          <w:sz w:val="22"/>
          <w:szCs w:val="22"/>
        </w:rPr>
        <w:t xml:space="preserve">Deduplication: review entries and payment installment records must be deduplicated before aggregation; installments normalized to total-paid-per-order.</w:t>
      </w:r>
    </w:p>
    <w:p>
      <w:pPr>
        <w:pStyle w:val="ListParagraph"/>
        <w:numPr>
          <w:ilvl w:val="0"/>
          <w:numId w:val="2"/>
        </w:numPr>
        <w:spacing w:after="60" w:before="60"/>
      </w:pPr>
      <w:r>
        <w:rPr>
          <w:rFonts w:ascii="Arial" w:cs="Arial" w:eastAsia="Arial" w:hAnsi="Arial"/>
          <w:color w:val="1A1A1A"/>
          <w:sz w:val="22"/>
          <w:szCs w:val="22"/>
        </w:rPr>
        <w:t xml:space="preserve">Cross-ledger check: SUM(order_items.price + freight_value) must reconcile to SUM(order_payments.payment_value) within an acceptable tolerance per order.</w:t>
      </w:r>
    </w:p>
    <w:p>
      <w:pPr>
        <w:pStyle w:val="ListParagraph"/>
        <w:numPr>
          <w:ilvl w:val="0"/>
          <w:numId w:val="2"/>
        </w:numPr>
        <w:spacing w:after="60" w:before="60"/>
      </w:pPr>
      <w:r>
        <w:rPr>
          <w:rFonts w:ascii="Arial" w:cs="Arial" w:eastAsia="Arial" w:hAnsi="Arial"/>
          <w:color w:val="1A1A1A"/>
          <w:sz w:val="22"/>
          <w:szCs w:val="22"/>
        </w:rPr>
        <w:t xml:space="preserve">Outlier detection: extreme shipping times (&gt;60 days) and anomalous payment totals are flagged for manual review.</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Data Quality Acceptance Criteria</w:t>
      </w:r>
    </w:p>
    <w:p>
      <w:pPr>
        <w:pStyle w:val="ListParagraph"/>
        <w:numPr>
          <w:ilvl w:val="0"/>
          <w:numId w:val="2"/>
        </w:numPr>
        <w:spacing w:after="60" w:before="60"/>
      </w:pPr>
      <w:r>
        <w:rPr>
          <w:rFonts w:ascii="Arial" w:cs="Arial" w:eastAsia="Arial" w:hAnsi="Arial"/>
          <w:color w:val="1A1A1A"/>
          <w:sz w:val="22"/>
          <w:szCs w:val="22"/>
        </w:rPr>
        <w:t xml:space="preserve">≥99.5% of orders pass the date logic validation check.</w:t>
      </w:r>
    </w:p>
    <w:p>
      <w:pPr>
        <w:pStyle w:val="ListParagraph"/>
        <w:numPr>
          <w:ilvl w:val="0"/>
          <w:numId w:val="2"/>
        </w:numPr>
        <w:spacing w:after="60" w:before="60"/>
      </w:pPr>
      <w:r>
        <w:rPr>
          <w:rFonts w:ascii="Arial" w:cs="Arial" w:eastAsia="Arial" w:hAnsi="Arial"/>
          <w:color w:val="1A1A1A"/>
          <w:sz w:val="22"/>
          <w:szCs w:val="22"/>
        </w:rPr>
        <w:t xml:space="preserve">Cross-ledger reconciliation tolerance: ≤0.1% variance in revenue totals.</w:t>
      </w:r>
    </w:p>
    <w:p>
      <w:pPr>
        <w:pStyle w:val="ListParagraph"/>
        <w:numPr>
          <w:ilvl w:val="0"/>
          <w:numId w:val="2"/>
        </w:numPr>
        <w:spacing w:after="60" w:before="60"/>
      </w:pPr>
      <w:r>
        <w:rPr>
          <w:rFonts w:ascii="Arial" w:cs="Arial" w:eastAsia="Arial" w:hAnsi="Arial"/>
          <w:color w:val="1A1A1A"/>
          <w:sz w:val="22"/>
          <w:szCs w:val="22"/>
        </w:rPr>
        <w:t xml:space="preserve">Deduplication log maintained and reviewed after each data refresh.</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Functional Requirements</w:t>
      </w:r>
    </w:p>
    <w:p>
      <w:pPr>
        <w:pStyle w:val="Heading2"/>
        <w:spacing w:after="120" w:before="280"/>
      </w:pPr>
      <w:r>
        <w:rPr>
          <w:rFonts w:ascii="Arial" w:cs="Arial" w:eastAsia="Arial" w:hAnsi="Arial"/>
          <w:b/>
          <w:bCs/>
          <w:color w:val="2E75B6"/>
          <w:sz w:val="26"/>
          <w:szCs w:val="26"/>
        </w:rPr>
        <w:t xml:space="preserve">Analytical Modules</w:t>
      </w:r>
    </w:p>
    <w:p>
      <w:pPr>
        <w:spacing w:after="100" w:before="80"/>
      </w:pPr>
      <w:r>
        <w:rPr>
          <w:rFonts w:ascii="Arial" w:cs="Arial" w:eastAsia="Arial" w:hAnsi="Arial"/>
          <w:color w:val="1A1A1A"/>
          <w:sz w:val="22"/>
          <w:szCs w:val="22"/>
        </w:rPr>
        <w:t xml:space="preserve">The platform must deliver the following eight analytical modules. Each module is independently testable, version-controlled, and linked to one or more KPIs defined in Section 3.</w:t>
      </w:r>
    </w:p>
    <w:p>
      <w:pPr>
        <w:spacing w:after="0" w:before="100"/>
      </w:pPr>
      <w:r>
        <w:t xml:space="preserve"/>
      </w:r>
    </w:p>
    <w:p>
      <w:pPr>
        <w:pStyle w:val="Heading3"/>
        <w:spacing w:after="100" w:before="200"/>
      </w:pPr>
      <w:r>
        <w:rPr>
          <w:rFonts w:ascii="Arial" w:cs="Arial" w:eastAsia="Arial" w:hAnsi="Arial"/>
          <w:b/>
          <w:bCs/>
          <w:color w:val="1A1A1A"/>
          <w:sz w:val="24"/>
          <w:szCs w:val="24"/>
        </w:rPr>
        <w:t xml:space="preserve">FR-01: Revenue Analysis by Category and Seller</w:t>
      </w:r>
    </w:p>
    <w:p>
      <w:pPr>
        <w:pStyle w:val="ListParagraph"/>
        <w:numPr>
          <w:ilvl w:val="0"/>
          <w:numId w:val="2"/>
        </w:numPr>
        <w:spacing w:after="60" w:before="60"/>
      </w:pPr>
      <w:r>
        <w:rPr>
          <w:rFonts w:ascii="Arial" w:cs="Arial" w:eastAsia="Arial" w:hAnsi="Arial"/>
          <w:color w:val="1A1A1A"/>
          <w:sz w:val="22"/>
          <w:szCs w:val="22"/>
        </w:rPr>
        <w:t xml:space="preserve">Calculate gross revenue (price + freight_value) aggregated by product category and seller.</w:t>
      </w:r>
    </w:p>
    <w:p>
      <w:pPr>
        <w:pStyle w:val="ListParagraph"/>
        <w:numPr>
          <w:ilvl w:val="0"/>
          <w:numId w:val="2"/>
        </w:numPr>
        <w:spacing w:after="60" w:before="60"/>
      </w:pPr>
      <w:r>
        <w:rPr>
          <w:rFonts w:ascii="Arial" w:cs="Arial" w:eastAsia="Arial" w:hAnsi="Arial"/>
          <w:color w:val="1A1A1A"/>
          <w:sz w:val="22"/>
          <w:szCs w:val="22"/>
        </w:rPr>
        <w:t xml:space="preserve">Produce month-over-month revenue trend and identify seasonality patterns.</w:t>
      </w:r>
    </w:p>
    <w:p>
      <w:pPr>
        <w:pStyle w:val="ListParagraph"/>
        <w:numPr>
          <w:ilvl w:val="0"/>
          <w:numId w:val="2"/>
        </w:numPr>
        <w:spacing w:after="60" w:before="60"/>
      </w:pPr>
      <w:r>
        <w:rPr>
          <w:rFonts w:ascii="Arial" w:cs="Arial" w:eastAsia="Arial" w:hAnsi="Arial"/>
          <w:color w:val="1A1A1A"/>
          <w:sz w:val="22"/>
          <w:szCs w:val="22"/>
        </w:rPr>
        <w:t xml:space="preserve">Flag categories where revenue concentration exceeds 10% of total (risk threshold).</w:t>
      </w:r>
    </w:p>
    <w:p>
      <w:pPr>
        <w:pStyle w:val="ListParagraph"/>
        <w:numPr>
          <w:ilvl w:val="0"/>
          <w:numId w:val="2"/>
        </w:numPr>
        <w:spacing w:after="60" w:before="60"/>
      </w:pPr>
      <w:r>
        <w:rPr>
          <w:rFonts w:ascii="Arial" w:cs="Arial" w:eastAsia="Arial" w:hAnsi="Arial"/>
          <w:color w:val="1A1A1A"/>
          <w:sz w:val="22"/>
          <w:szCs w:val="22"/>
        </w:rPr>
        <w:t xml:space="preserve">Output: Category revenue ranking table with MoM % change and concentration flag.</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FR-02: Customer Lifetime Value (LTV) and Cohort Analysis</w:t>
      </w:r>
    </w:p>
    <w:p>
      <w:pPr>
        <w:pStyle w:val="ListParagraph"/>
        <w:numPr>
          <w:ilvl w:val="0"/>
          <w:numId w:val="2"/>
        </w:numPr>
        <w:spacing w:after="60" w:before="60"/>
      </w:pPr>
      <w:r>
        <w:rPr>
          <w:rFonts w:ascii="Arial" w:cs="Arial" w:eastAsia="Arial" w:hAnsi="Arial"/>
          <w:color w:val="1A1A1A"/>
          <w:sz w:val="22"/>
          <w:szCs w:val="22"/>
        </w:rPr>
        <w:t xml:space="preserve">Calculate cumulative gross revenue per customer across all delivered orders.</w:t>
      </w:r>
    </w:p>
    <w:p>
      <w:pPr>
        <w:pStyle w:val="ListParagraph"/>
        <w:numPr>
          <w:ilvl w:val="0"/>
          <w:numId w:val="2"/>
        </w:numPr>
        <w:spacing w:after="60" w:before="60"/>
      </w:pPr>
      <w:r>
        <w:rPr>
          <w:rFonts w:ascii="Arial" w:cs="Arial" w:eastAsia="Arial" w:hAnsi="Arial"/>
          <w:color w:val="1A1A1A"/>
          <w:sz w:val="22"/>
          <w:szCs w:val="22"/>
        </w:rPr>
        <w:t xml:space="preserve">Segment customers into three cohorts: One-time (1 order), Returning (2–4 orders), Loyal (5+ orders).</w:t>
      </w:r>
    </w:p>
    <w:p>
      <w:pPr>
        <w:pStyle w:val="ListParagraph"/>
        <w:numPr>
          <w:ilvl w:val="0"/>
          <w:numId w:val="2"/>
        </w:numPr>
        <w:spacing w:after="60" w:before="60"/>
      </w:pPr>
      <w:r>
        <w:rPr>
          <w:rFonts w:ascii="Arial" w:cs="Arial" w:eastAsia="Arial" w:hAnsi="Arial"/>
          <w:color w:val="1A1A1A"/>
          <w:sz w:val="22"/>
          <w:szCs w:val="22"/>
        </w:rPr>
        <w:t xml:space="preserve">Produce monthly cohort retention curves using window functions.</w:t>
      </w:r>
    </w:p>
    <w:p>
      <w:pPr>
        <w:pStyle w:val="ListParagraph"/>
        <w:numPr>
          <w:ilvl w:val="0"/>
          <w:numId w:val="2"/>
        </w:numPr>
        <w:spacing w:after="60" w:before="60"/>
      </w:pPr>
      <w:r>
        <w:rPr>
          <w:rFonts w:ascii="Arial" w:cs="Arial" w:eastAsia="Arial" w:hAnsi="Arial"/>
          <w:color w:val="1A1A1A"/>
          <w:sz w:val="22"/>
          <w:szCs w:val="22"/>
        </w:rPr>
        <w:t xml:space="preserve">Identify high-LTV customers for targeted retention programs.</w:t>
      </w:r>
    </w:p>
    <w:p>
      <w:pPr>
        <w:pStyle w:val="ListParagraph"/>
        <w:numPr>
          <w:ilvl w:val="0"/>
          <w:numId w:val="2"/>
        </w:numPr>
        <w:spacing w:after="60" w:before="60"/>
      </w:pPr>
      <w:r>
        <w:rPr>
          <w:rFonts w:ascii="Arial" w:cs="Arial" w:eastAsia="Arial" w:hAnsi="Arial"/>
          <w:color w:val="1A1A1A"/>
          <w:sz w:val="22"/>
          <w:szCs w:val="22"/>
        </w:rPr>
        <w:t xml:space="preserve">Output: Customer LTV table with segment label, order count, and revenue; cohort retention matrix.</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FR-03: Monthly Sales Trend and Seasonality Decomposition</w:t>
      </w:r>
    </w:p>
    <w:p>
      <w:pPr>
        <w:pStyle w:val="ListParagraph"/>
        <w:numPr>
          <w:ilvl w:val="0"/>
          <w:numId w:val="2"/>
        </w:numPr>
        <w:spacing w:after="60" w:before="60"/>
      </w:pPr>
      <w:r>
        <w:rPr>
          <w:rFonts w:ascii="Arial" w:cs="Arial" w:eastAsia="Arial" w:hAnsi="Arial"/>
          <w:color w:val="1A1A1A"/>
          <w:sz w:val="22"/>
          <w:szCs w:val="22"/>
        </w:rPr>
        <w:t xml:space="preserve">Aggregate gross revenue, order count, and AOV by calendar month.</w:t>
      </w:r>
    </w:p>
    <w:p>
      <w:pPr>
        <w:pStyle w:val="ListParagraph"/>
        <w:numPr>
          <w:ilvl w:val="0"/>
          <w:numId w:val="2"/>
        </w:numPr>
        <w:spacing w:after="60" w:before="60"/>
      </w:pPr>
      <w:r>
        <w:rPr>
          <w:rFonts w:ascii="Arial" w:cs="Arial" w:eastAsia="Arial" w:hAnsi="Arial"/>
          <w:color w:val="1A1A1A"/>
          <w:sz w:val="22"/>
          <w:szCs w:val="22"/>
        </w:rPr>
        <w:t xml:space="preserve">Identify seasonal peaks and troughs; flag months with &gt;15% deviation from 3-month rolling average.</w:t>
      </w:r>
    </w:p>
    <w:p>
      <w:pPr>
        <w:pStyle w:val="ListParagraph"/>
        <w:numPr>
          <w:ilvl w:val="0"/>
          <w:numId w:val="2"/>
        </w:numPr>
        <w:spacing w:after="60" w:before="60"/>
      </w:pPr>
      <w:r>
        <w:rPr>
          <w:rFonts w:ascii="Arial" w:cs="Arial" w:eastAsia="Arial" w:hAnsi="Arial"/>
          <w:color w:val="1A1A1A"/>
          <w:sz w:val="22"/>
          <w:szCs w:val="22"/>
        </w:rPr>
        <w:t xml:space="preserve">Output: Monthly time-series table with revenue, AOV, order count, rolling average, and deviation flag.</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FR-04: Payment Mix and Behavioral Impact Analysis</w:t>
      </w:r>
    </w:p>
    <w:p>
      <w:pPr>
        <w:pStyle w:val="ListParagraph"/>
        <w:numPr>
          <w:ilvl w:val="0"/>
          <w:numId w:val="2"/>
        </w:numPr>
        <w:spacing w:after="60" w:before="60"/>
      </w:pPr>
      <w:r>
        <w:rPr>
          <w:rFonts w:ascii="Arial" w:cs="Arial" w:eastAsia="Arial" w:hAnsi="Arial"/>
          <w:color w:val="1A1A1A"/>
          <w:sz w:val="22"/>
          <w:szCs w:val="22"/>
        </w:rPr>
        <w:t xml:space="preserve">Calculate distribution of payment methods (credit card, boleto, voucher, debit) by order count and revenue share.</w:t>
      </w:r>
    </w:p>
    <w:p>
      <w:pPr>
        <w:pStyle w:val="ListParagraph"/>
        <w:numPr>
          <w:ilvl w:val="0"/>
          <w:numId w:val="2"/>
        </w:numPr>
        <w:spacing w:after="60" w:before="60"/>
      </w:pPr>
      <w:r>
        <w:rPr>
          <w:rFonts w:ascii="Arial" w:cs="Arial" w:eastAsia="Arial" w:hAnsi="Arial"/>
          <w:color w:val="1A1A1A"/>
          <w:sz w:val="22"/>
          <w:szCs w:val="22"/>
        </w:rPr>
        <w:t xml:space="preserve">Analyze correlation between payment method and AOV, basket size, and order completion probability.</w:t>
      </w:r>
    </w:p>
    <w:p>
      <w:pPr>
        <w:pStyle w:val="ListParagraph"/>
        <w:numPr>
          <w:ilvl w:val="0"/>
          <w:numId w:val="2"/>
        </w:numPr>
        <w:spacing w:after="60" w:before="60"/>
      </w:pPr>
      <w:r>
        <w:rPr>
          <w:rFonts w:ascii="Arial" w:cs="Arial" w:eastAsia="Arial" w:hAnsi="Arial"/>
          <w:color w:val="1A1A1A"/>
          <w:sz w:val="22"/>
          <w:szCs w:val="22"/>
        </w:rPr>
        <w:t xml:space="preserve">Identify preferred payment methods to surface in checkout optimization recommendations.</w:t>
      </w:r>
    </w:p>
    <w:p>
      <w:pPr>
        <w:pStyle w:val="ListParagraph"/>
        <w:numPr>
          <w:ilvl w:val="0"/>
          <w:numId w:val="2"/>
        </w:numPr>
        <w:spacing w:after="60" w:before="60"/>
      </w:pPr>
      <w:r>
        <w:rPr>
          <w:rFonts w:ascii="Arial" w:cs="Arial" w:eastAsia="Arial" w:hAnsi="Arial"/>
          <w:color w:val="1A1A1A"/>
          <w:sz w:val="22"/>
          <w:szCs w:val="22"/>
        </w:rPr>
        <w:t xml:space="preserve">Output: Payment method breakdown table; payment-to-AOV correlation summary.</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FR-05: Delivery Lead Time and Delay Diagnostics by Region</w:t>
      </w:r>
    </w:p>
    <w:p>
      <w:pPr>
        <w:pStyle w:val="ListParagraph"/>
        <w:numPr>
          <w:ilvl w:val="0"/>
          <w:numId w:val="2"/>
        </w:numPr>
        <w:spacing w:after="60" w:before="60"/>
      </w:pPr>
      <w:r>
        <w:rPr>
          <w:rFonts w:ascii="Arial" w:cs="Arial" w:eastAsia="Arial" w:hAnsi="Arial"/>
          <w:color w:val="1A1A1A"/>
          <w:sz w:val="22"/>
          <w:szCs w:val="22"/>
        </w:rPr>
        <w:t xml:space="preserve">Calculate average delivery lead time and delay (delivered_date − estimated_date) per seller state and customer ZIP region.</w:t>
      </w:r>
    </w:p>
    <w:p>
      <w:pPr>
        <w:pStyle w:val="ListParagraph"/>
        <w:numPr>
          <w:ilvl w:val="0"/>
          <w:numId w:val="2"/>
        </w:numPr>
        <w:spacing w:after="60" w:before="60"/>
      </w:pPr>
      <w:r>
        <w:rPr>
          <w:rFonts w:ascii="Arial" w:cs="Arial" w:eastAsia="Arial" w:hAnsi="Arial"/>
          <w:color w:val="1A1A1A"/>
          <w:sz w:val="22"/>
          <w:szCs w:val="22"/>
        </w:rPr>
        <w:t xml:space="preserve">Flag regions where average delay exceeds 2.0 days (SLA breach threshold).</w:t>
      </w:r>
    </w:p>
    <w:p>
      <w:pPr>
        <w:pStyle w:val="ListParagraph"/>
        <w:numPr>
          <w:ilvl w:val="0"/>
          <w:numId w:val="2"/>
        </w:numPr>
        <w:spacing w:after="60" w:before="60"/>
      </w:pPr>
      <w:r>
        <w:rPr>
          <w:rFonts w:ascii="Arial" w:cs="Arial" w:eastAsia="Arial" w:hAnsi="Arial"/>
          <w:color w:val="1A1A1A"/>
          <w:sz w:val="22"/>
          <w:szCs w:val="22"/>
        </w:rPr>
        <w:t xml:space="preserve">Identify carrier and fulfillment node patterns correlated with elevated delays.</w:t>
      </w:r>
    </w:p>
    <w:p>
      <w:pPr>
        <w:pStyle w:val="ListParagraph"/>
        <w:numPr>
          <w:ilvl w:val="0"/>
          <w:numId w:val="2"/>
        </w:numPr>
        <w:spacing w:after="60" w:before="60"/>
      </w:pPr>
      <w:r>
        <w:rPr>
          <w:rFonts w:ascii="Arial" w:cs="Arial" w:eastAsia="Arial" w:hAnsi="Arial"/>
          <w:color w:val="1A1A1A"/>
          <w:sz w:val="22"/>
          <w:szCs w:val="22"/>
        </w:rPr>
        <w:t xml:space="preserve">Output: Regional delay table with SLA breach flag; current baseline: 4.2-day average delay in identified region.</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FR-06: Review Score Impact on Conversion and Reorders</w:t>
      </w:r>
    </w:p>
    <w:p>
      <w:pPr>
        <w:pStyle w:val="ListParagraph"/>
        <w:numPr>
          <w:ilvl w:val="0"/>
          <w:numId w:val="2"/>
        </w:numPr>
        <w:spacing w:after="60" w:before="60"/>
      </w:pPr>
      <w:r>
        <w:rPr>
          <w:rFonts w:ascii="Arial" w:cs="Arial" w:eastAsia="Arial" w:hAnsi="Arial"/>
          <w:color w:val="1A1A1A"/>
          <w:sz w:val="22"/>
          <w:szCs w:val="22"/>
        </w:rPr>
        <w:t xml:space="preserve">Calculate average review_score per product category and seller.</w:t>
      </w:r>
    </w:p>
    <w:p>
      <w:pPr>
        <w:pStyle w:val="ListParagraph"/>
        <w:numPr>
          <w:ilvl w:val="0"/>
          <w:numId w:val="2"/>
        </w:numPr>
        <w:spacing w:after="60" w:before="60"/>
      </w:pPr>
      <w:r>
        <w:rPr>
          <w:rFonts w:ascii="Arial" w:cs="Arial" w:eastAsia="Arial" w:hAnsi="Arial"/>
          <w:color w:val="1A1A1A"/>
          <w:sz w:val="22"/>
          <w:szCs w:val="22"/>
        </w:rPr>
        <w:t xml:space="preserve">Analyze correlation between review score percentiles (p50, p90) and repeat purchase rate.</w:t>
      </w:r>
    </w:p>
    <w:p>
      <w:pPr>
        <w:pStyle w:val="ListParagraph"/>
        <w:numPr>
          <w:ilvl w:val="0"/>
          <w:numId w:val="2"/>
        </w:numPr>
        <w:spacing w:after="60" w:before="60"/>
      </w:pPr>
      <w:r>
        <w:rPr>
          <w:rFonts w:ascii="Arial" w:cs="Arial" w:eastAsia="Arial" w:hAnsi="Arial"/>
          <w:color w:val="1A1A1A"/>
          <w:sz w:val="22"/>
          <w:szCs w:val="22"/>
        </w:rPr>
        <w:t xml:space="preserve">Weight review scores by verified delivery and time-since-delivery to reduce recency and selection bias.</w:t>
      </w:r>
    </w:p>
    <w:p>
      <w:pPr>
        <w:pStyle w:val="ListParagraph"/>
        <w:numPr>
          <w:ilvl w:val="0"/>
          <w:numId w:val="2"/>
        </w:numPr>
        <w:spacing w:after="60" w:before="60"/>
      </w:pPr>
      <w:r>
        <w:rPr>
          <w:rFonts w:ascii="Arial" w:cs="Arial" w:eastAsia="Arial" w:hAnsi="Arial"/>
          <w:color w:val="1A1A1A"/>
          <w:sz w:val="22"/>
          <w:szCs w:val="22"/>
        </w:rPr>
        <w:t xml:space="preserve">Output: Review score distribution by category; correlation table linking score bands to reorder rates.</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FR-07: Basket Composition and Cross-Sell Pattern Analysis</w:t>
      </w:r>
    </w:p>
    <w:p>
      <w:pPr>
        <w:pStyle w:val="ListParagraph"/>
        <w:numPr>
          <w:ilvl w:val="0"/>
          <w:numId w:val="2"/>
        </w:numPr>
        <w:spacing w:after="60" w:before="60"/>
      </w:pPr>
      <w:r>
        <w:rPr>
          <w:rFonts w:ascii="Arial" w:cs="Arial" w:eastAsia="Arial" w:hAnsi="Arial"/>
          <w:color w:val="1A1A1A"/>
          <w:sz w:val="22"/>
          <w:szCs w:val="22"/>
        </w:rPr>
        <w:t xml:space="preserve">Identify co-occurrence of product categories within the same order.</w:t>
      </w:r>
    </w:p>
    <w:p>
      <w:pPr>
        <w:pStyle w:val="ListParagraph"/>
        <w:numPr>
          <w:ilvl w:val="0"/>
          <w:numId w:val="2"/>
        </w:numPr>
        <w:spacing w:after="60" w:before="60"/>
      </w:pPr>
      <w:r>
        <w:rPr>
          <w:rFonts w:ascii="Arial" w:cs="Arial" w:eastAsia="Arial" w:hAnsi="Arial"/>
          <w:color w:val="1A1A1A"/>
          <w:sz w:val="22"/>
          <w:szCs w:val="22"/>
        </w:rPr>
        <w:t xml:space="preserve">Calculate lift and support metrics for category pairs.</w:t>
      </w:r>
    </w:p>
    <w:p>
      <w:pPr>
        <w:pStyle w:val="ListParagraph"/>
        <w:numPr>
          <w:ilvl w:val="0"/>
          <w:numId w:val="2"/>
        </w:numPr>
        <w:spacing w:after="60" w:before="60"/>
      </w:pPr>
      <w:r>
        <w:rPr>
          <w:rFonts w:ascii="Arial" w:cs="Arial" w:eastAsia="Arial" w:hAnsi="Arial"/>
          <w:color w:val="1A1A1A"/>
          <w:sz w:val="22"/>
          <w:szCs w:val="22"/>
        </w:rPr>
        <w:t xml:space="preserve">Surface top cross-sell opportunities ranked by lift and revenue potential.</w:t>
      </w:r>
    </w:p>
    <w:p>
      <w:pPr>
        <w:pStyle w:val="ListParagraph"/>
        <w:numPr>
          <w:ilvl w:val="0"/>
          <w:numId w:val="2"/>
        </w:numPr>
        <w:spacing w:after="60" w:before="60"/>
      </w:pPr>
      <w:r>
        <w:rPr>
          <w:rFonts w:ascii="Arial" w:cs="Arial" w:eastAsia="Arial" w:hAnsi="Arial"/>
          <w:color w:val="1A1A1A"/>
          <w:sz w:val="22"/>
          <w:szCs w:val="22"/>
        </w:rPr>
        <w:t xml:space="preserve">Output: Category pair affinity matrix; top-10 cross-sell opportunity table.</w:t>
      </w:r>
    </w:p>
    <w:p>
      <w:pPr>
        <w:spacing w:after="0" w:before="80"/>
      </w:pPr>
      <w:r>
        <w:t xml:space="preserve"/>
      </w:r>
    </w:p>
    <w:p>
      <w:pPr>
        <w:pStyle w:val="Heading3"/>
        <w:spacing w:after="100" w:before="200"/>
      </w:pPr>
      <w:r>
        <w:rPr>
          <w:rFonts w:ascii="Arial" w:cs="Arial" w:eastAsia="Arial" w:hAnsi="Arial"/>
          <w:b/>
          <w:bCs/>
          <w:color w:val="1A1A1A"/>
          <w:sz w:val="24"/>
          <w:szCs w:val="24"/>
        </w:rPr>
        <w:t xml:space="preserve">FR-08: Seller Performance Benchmarking</w:t>
      </w:r>
    </w:p>
    <w:p>
      <w:pPr>
        <w:pStyle w:val="ListParagraph"/>
        <w:numPr>
          <w:ilvl w:val="0"/>
          <w:numId w:val="2"/>
        </w:numPr>
        <w:spacing w:after="60" w:before="60"/>
      </w:pPr>
      <w:r>
        <w:rPr>
          <w:rFonts w:ascii="Arial" w:cs="Arial" w:eastAsia="Arial" w:hAnsi="Arial"/>
          <w:color w:val="1A1A1A"/>
          <w:sz w:val="22"/>
          <w:szCs w:val="22"/>
        </w:rPr>
        <w:t xml:space="preserve">Rank sellers by revenue, on-time delivery rate, average review score, and repeat customer rate.</w:t>
      </w:r>
    </w:p>
    <w:p>
      <w:pPr>
        <w:pStyle w:val="ListParagraph"/>
        <w:numPr>
          <w:ilvl w:val="0"/>
          <w:numId w:val="2"/>
        </w:numPr>
        <w:spacing w:after="60" w:before="60"/>
      </w:pPr>
      <w:r>
        <w:rPr>
          <w:rFonts w:ascii="Arial" w:cs="Arial" w:eastAsia="Arial" w:hAnsi="Arial"/>
          <w:color w:val="1A1A1A"/>
          <w:sz w:val="22"/>
          <w:szCs w:val="22"/>
        </w:rPr>
        <w:t xml:space="preserve">Identify underperforming sellers below the 25th percentile on two or more metrics.</w:t>
      </w:r>
    </w:p>
    <w:p>
      <w:pPr>
        <w:pStyle w:val="ListParagraph"/>
        <w:numPr>
          <w:ilvl w:val="0"/>
          <w:numId w:val="2"/>
        </w:numPr>
        <w:spacing w:after="60" w:before="60"/>
      </w:pPr>
      <w:r>
        <w:rPr>
          <w:rFonts w:ascii="Arial" w:cs="Arial" w:eastAsia="Arial" w:hAnsi="Arial"/>
          <w:color w:val="1A1A1A"/>
          <w:sz w:val="22"/>
          <w:szCs w:val="22"/>
        </w:rPr>
        <w:t xml:space="preserve">Output: Seller scorecard table with percentile ranking on all four dimensions.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60"/>
        <w:gridCol w:w="220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4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NFR-01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Reproducibility</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SQL modules must produce identical results given identical input data.</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 variance across three consecutive runs on the same dataset.</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NFR-02</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Performance</w:t>
            </w:r>
          </w:p>
        </w:tc>
        <w:tc>
          <w:tcPr>
            <w:tcW w:type="dxa" w:w="4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Core SQL modules must complete execution within 5 minutes on the full 100K+ order dataset.</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Execution time measured and logged after each refresh.</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NFR-03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Version Control</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SQL code committed to GitHub with conventional commit messages and PR review before merge to main.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direct commits to main; 100% PR coverage.</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NFR-04</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Documentation</w:t>
            </w:r>
          </w:p>
        </w:tc>
        <w:tc>
          <w:tcPr>
            <w:tcW w:type="dxa" w:w="4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All modules documented in Confluence with methodology, assumptions, KPI linkage, and known limitations.</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Confluence page reviewed and approved by Analytics Manager.</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NFR-05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Auditability</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Query results stored as versioned views with refresh timestamp and row count logged.</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Audit log available for last 12 refresh cycles.</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NFR-06</w:t>
            </w:r>
          </w:p>
        </w:tc>
        <w:tc>
          <w:tcPr>
            <w:tcW w:type="dxa" w:w="2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Maintainability</w:t>
            </w:r>
          </w:p>
        </w:tc>
        <w:tc>
          <w:tcPr>
            <w:tcW w:type="dxa" w:w="4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SQL modules use CTEs for modular design; no hardcoded date filters without a documented rationale.</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Peer code review confirms CTE usage and no unexplained hardcoding.</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NFR-07</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Onboarding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Runbook must enable a new analyst to execute all modules without additional guidance.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Tested by onboarding one new analyst within 1 business day.</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Key Findings and Business Insights</w:t>
      </w:r>
    </w:p>
    <w:p>
      <w:pPr>
        <w:pStyle w:val="Heading2"/>
        <w:spacing w:after="120" w:before="280"/>
      </w:pPr>
      <w:r>
        <w:rPr>
          <w:rFonts w:ascii="Arial" w:cs="Arial" w:eastAsia="Arial" w:hAnsi="Arial"/>
          <w:b/>
          <w:bCs/>
          <w:color w:val="2E75B6"/>
          <w:sz w:val="26"/>
          <w:szCs w:val="26"/>
        </w:rPr>
        <w:t xml:space="preserve">Revenue Insights</w:t>
      </w:r>
    </w:p>
    <w:p>
      <w:pPr>
        <w:pStyle w:val="ListParagraph"/>
        <w:numPr>
          <w:ilvl w:val="0"/>
          <w:numId w:val="2"/>
        </w:numPr>
        <w:spacing w:after="60" w:before="60"/>
      </w:pPr>
      <w:r>
        <w:rPr>
          <w:rFonts w:ascii="Arial" w:cs="Arial" w:eastAsia="Arial" w:hAnsi="Arial"/>
          <w:color w:val="1A1A1A"/>
          <w:sz w:val="22"/>
          <w:szCs w:val="22"/>
        </w:rPr>
        <w:t xml:space="preserve">23% of total gross revenue is concentrated in the top two product categories, creating meaningful stockout and dependency risk. Demand-sensing reorder points should be piloted for these categories as a priority action.</w:t>
      </w:r>
    </w:p>
    <w:p>
      <w:pPr>
        <w:pStyle w:val="ListParagraph"/>
        <w:numPr>
          <w:ilvl w:val="0"/>
          <w:numId w:val="2"/>
        </w:numPr>
        <w:spacing w:after="60" w:before="60"/>
      </w:pPr>
      <w:r>
        <w:rPr>
          <w:rFonts w:ascii="Arial" w:cs="Arial" w:eastAsia="Arial" w:hAnsi="Arial"/>
          <w:color w:val="1A1A1A"/>
          <w:sz w:val="22"/>
          <w:szCs w:val="22"/>
        </w:rPr>
        <w:t xml:space="preserve">Month-over-month revenue trends reveal identifiable seasonal patterns that, if accounted for in inventory planning, can reduce both overstock and stockout events.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Logistics Insights</w:t>
      </w:r>
    </w:p>
    <w:p>
      <w:pPr>
        <w:pStyle w:val="ListParagraph"/>
        <w:numPr>
          <w:ilvl w:val="0"/>
          <w:numId w:val="2"/>
        </w:numPr>
        <w:spacing w:after="60" w:before="60"/>
      </w:pPr>
      <w:r>
        <w:rPr>
          <w:rFonts w:ascii="Arial" w:cs="Arial" w:eastAsia="Arial" w:hAnsi="Arial"/>
          <w:color w:val="1A1A1A"/>
          <w:sz w:val="22"/>
          <w:szCs w:val="22"/>
        </w:rPr>
        <w:t xml:space="preserve">An average delivery delay of 4.2 days has been identified in at least one specific region, representing a breach of the ≤2.0-day SLA target. Root-cause investigation should examine carrier contracts, fulfillment node placement, and regional demand volatility.</w:t>
      </w:r>
    </w:p>
    <w:p>
      <w:pPr>
        <w:pStyle w:val="ListParagraph"/>
        <w:numPr>
          <w:ilvl w:val="0"/>
          <w:numId w:val="2"/>
        </w:numPr>
        <w:spacing w:after="60" w:before="60"/>
      </w:pPr>
      <w:r>
        <w:rPr>
          <w:rFonts w:ascii="Arial" w:cs="Arial" w:eastAsia="Arial" w:hAnsi="Arial"/>
          <w:color w:val="1A1A1A"/>
          <w:sz w:val="22"/>
          <w:szCs w:val="22"/>
        </w:rPr>
        <w:t xml:space="preserve">On-time delivery rate variance across regions indicates that logistics performance is not uniformly managed, and that SLA recalibration may be needed at the regional level.</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Customer Insights</w:t>
      </w:r>
    </w:p>
    <w:p>
      <w:pPr>
        <w:pStyle w:val="ListParagraph"/>
        <w:numPr>
          <w:ilvl w:val="0"/>
          <w:numId w:val="2"/>
        </w:numPr>
        <w:spacing w:after="60" w:before="60"/>
      </w:pPr>
      <w:r>
        <w:rPr>
          <w:rFonts w:ascii="Arial" w:cs="Arial" w:eastAsia="Arial" w:hAnsi="Arial"/>
          <w:color w:val="1A1A1A"/>
          <w:sz w:val="22"/>
          <w:szCs w:val="22"/>
        </w:rPr>
        <w:t xml:space="preserve">Customer segmentation into One-time, Returning, and Loyal cohorts reveals that the Loyal cohort, while small in absolute size, contributes disproportionately to total revenue and repeat order volume.</w:t>
      </w:r>
    </w:p>
    <w:p>
      <w:pPr>
        <w:pStyle w:val="ListParagraph"/>
        <w:numPr>
          <w:ilvl w:val="0"/>
          <w:numId w:val="2"/>
        </w:numPr>
        <w:spacing w:after="60" w:before="60"/>
      </w:pPr>
      <w:r>
        <w:rPr>
          <w:rFonts w:ascii="Arial" w:cs="Arial" w:eastAsia="Arial" w:hAnsi="Arial"/>
          <w:color w:val="1A1A1A"/>
          <w:sz w:val="22"/>
          <w:szCs w:val="22"/>
        </w:rPr>
        <w:t xml:space="preserve">High-LTV customers have been isolated and are currently receiving no differentiated retention treatment. A targeted loyalty tier or replenishment reminder program is recommended.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Payment Insights</w:t>
      </w:r>
    </w:p>
    <w:p>
      <w:pPr>
        <w:pStyle w:val="ListParagraph"/>
        <w:numPr>
          <w:ilvl w:val="0"/>
          <w:numId w:val="2"/>
        </w:numPr>
        <w:spacing w:after="60" w:before="60"/>
      </w:pPr>
      <w:r>
        <w:rPr>
          <w:rFonts w:ascii="Arial" w:cs="Arial" w:eastAsia="Arial" w:hAnsi="Arial"/>
          <w:color w:val="1A1A1A"/>
          <w:sz w:val="22"/>
          <w:szCs w:val="22"/>
        </w:rPr>
        <w:t xml:space="preserve">Payment method distribution is non-uniform across order value bands. Dominant payment types are associated with higher basket sizes and improved completion probability.</w:t>
      </w:r>
    </w:p>
    <w:p>
      <w:pPr>
        <w:pStyle w:val="ListParagraph"/>
        <w:numPr>
          <w:ilvl w:val="0"/>
          <w:numId w:val="2"/>
        </w:numPr>
        <w:spacing w:after="60" w:before="60"/>
      </w:pPr>
      <w:r>
        <w:rPr>
          <w:rFonts w:ascii="Arial" w:cs="Arial" w:eastAsia="Arial" w:hAnsi="Arial"/>
          <w:color w:val="1A1A1A"/>
          <w:sz w:val="22"/>
          <w:szCs w:val="22"/>
        </w:rPr>
        <w:t xml:space="preserve">Surfacing preferred payment methods earlier in the checkout flow represents a low-cost conversion optimization opportunity with measurable impact on AOV.</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Recommendations and Prioritization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1780"/>
        <w:gridCol w:w="178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Recommendation</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Benefit</w:t>
            </w:r>
          </w:p>
        </w:tc>
        <w:tc>
          <w:tcPr>
            <w:tcW w:type="dxa" w:w="17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17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R-01</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Pilot demand-sensing reorder points for top 2 revenue categories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Mitigate stockout risk; reduce dependency concentration</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Critical</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R-02</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Investigate and remediate regional delivery delays (4.2-day average)</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Improve CSAT, reduce SLA breaches, protect reorder rate</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R-03</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Launch targeted retention for high-LTV customers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Reduce churn, increase repeat purchase rate by ≥8%</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R-04</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Surface preferred payment methods in checkout flow</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Improve conversion rate and AOV by ≥5%</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R-05</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Integrate BI dashboards (Power BI/Tableau) for self-serve access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Democratize analytics; reduce ad-hoc request volume</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R-06</w:t>
            </w:r>
          </w:p>
        </w:tc>
        <w:tc>
          <w:tcPr>
            <w:tcW w:type="dxa" w:w="30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Deploy predictive models for demand, lead time, and churn propensity</w:t>
            </w:r>
          </w:p>
        </w:tc>
        <w:tc>
          <w:tcPr>
            <w:tcW w:type="dxa" w:w="22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Proactive risk management; revenue protection</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Very High</w:t>
            </w:r>
          </w:p>
        </w:tc>
        <w:tc>
          <w:tcPr>
            <w:tcW w:type="dxa" w:w="178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 (Phase 3)</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Governance and Version Control</w:t>
      </w:r>
    </w:p>
    <w:p>
      <w:pPr>
        <w:pStyle w:val="Heading2"/>
        <w:spacing w:after="120" w:before="280"/>
      </w:pPr>
      <w:r>
        <w:rPr>
          <w:rFonts w:ascii="Arial" w:cs="Arial" w:eastAsia="Arial" w:hAnsi="Arial"/>
          <w:b/>
          <w:bCs/>
          <w:color w:val="2E75B6"/>
          <w:sz w:val="26"/>
          <w:szCs w:val="26"/>
        </w:rPr>
        <w:t xml:space="preserve">Git Repository Standards</w:t>
      </w:r>
    </w:p>
    <w:p>
      <w:pPr>
        <w:pStyle w:val="ListParagraph"/>
        <w:numPr>
          <w:ilvl w:val="0"/>
          <w:numId w:val="2"/>
        </w:numPr>
        <w:spacing w:after="60" w:before="60"/>
      </w:pPr>
      <w:r>
        <w:rPr>
          <w:rFonts w:ascii="Arial" w:cs="Arial" w:eastAsia="Arial" w:hAnsi="Arial"/>
          <w:color w:val="1A1A1A"/>
          <w:sz w:val="22"/>
          <w:szCs w:val="22"/>
        </w:rPr>
        <w:t xml:space="preserve">Branch strategy: feature/* for new analytical modules, hotfix/* for urgent corrections. The main branch is protected and requires at least one peer review before merge.</w:t>
      </w:r>
    </w:p>
    <w:p>
      <w:pPr>
        <w:pStyle w:val="ListParagraph"/>
        <w:numPr>
          <w:ilvl w:val="0"/>
          <w:numId w:val="2"/>
        </w:numPr>
        <w:spacing w:after="60" w:before="60"/>
      </w:pPr>
      <w:r>
        <w:rPr>
          <w:rFonts w:ascii="Arial" w:cs="Arial" w:eastAsia="Arial" w:hAnsi="Arial"/>
          <w:color w:val="1A1A1A"/>
          <w:sz w:val="22"/>
          <w:szCs w:val="22"/>
        </w:rPr>
        <w:t xml:space="preserve">Commit convention: conventional commits (feat:, fix:, docs:, refactor:) required for all commits. PR templates must be completed before review is requested.</w:t>
      </w:r>
    </w:p>
    <w:p>
      <w:pPr>
        <w:pStyle w:val="ListParagraph"/>
        <w:numPr>
          <w:ilvl w:val="0"/>
          <w:numId w:val="2"/>
        </w:numPr>
        <w:spacing w:after="60" w:before="60"/>
      </w:pPr>
      <w:r>
        <w:rPr>
          <w:rFonts w:ascii="Arial" w:cs="Arial" w:eastAsia="Arial" w:hAnsi="Arial"/>
          <w:color w:val="1A1A1A"/>
          <w:sz w:val="22"/>
          <w:szCs w:val="22"/>
        </w:rPr>
        <w:t xml:space="preserve">Data dictionary and query catalog maintained in the /docs directory alongside SQL modules.</w:t>
      </w:r>
    </w:p>
    <w:p>
      <w:pPr>
        <w:pStyle w:val="ListParagraph"/>
        <w:numPr>
          <w:ilvl w:val="0"/>
          <w:numId w:val="2"/>
        </w:numPr>
        <w:spacing w:after="60" w:before="60"/>
      </w:pPr>
      <w:r>
        <w:rPr>
          <w:rFonts w:ascii="Arial" w:cs="Arial" w:eastAsia="Arial" w:hAnsi="Arial"/>
          <w:color w:val="1A1A1A"/>
          <w:sz w:val="22"/>
          <w:szCs w:val="22"/>
        </w:rPr>
        <w:t xml:space="preserve">All versioned query outputs stored with refresh timestamp and row count in a dedicated /outputs/versioned directory.</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Documentation Standards</w:t>
      </w:r>
    </w:p>
    <w:p>
      <w:pPr>
        <w:pStyle w:val="ListParagraph"/>
        <w:numPr>
          <w:ilvl w:val="0"/>
          <w:numId w:val="2"/>
        </w:numPr>
        <w:spacing w:after="60" w:before="60"/>
      </w:pPr>
      <w:r>
        <w:rPr>
          <w:rFonts w:ascii="Arial" w:cs="Arial" w:eastAsia="Arial" w:hAnsi="Arial"/>
          <w:color w:val="1A1A1A"/>
          <w:sz w:val="22"/>
          <w:szCs w:val="22"/>
        </w:rPr>
        <w:t xml:space="preserve">Confluence: BRD, methodology notes, data quality logs, and decision records maintained under the E-Commerce Analytics space. All pages require Analytics Manager approval before publication.</w:t>
      </w:r>
    </w:p>
    <w:p>
      <w:pPr>
        <w:pStyle w:val="ListParagraph"/>
        <w:numPr>
          <w:ilvl w:val="0"/>
          <w:numId w:val="2"/>
        </w:numPr>
        <w:spacing w:after="60" w:before="60"/>
      </w:pPr>
      <w:r>
        <w:rPr>
          <w:rFonts w:ascii="Arial" w:cs="Arial" w:eastAsia="Arial" w:hAnsi="Arial"/>
          <w:color w:val="1A1A1A"/>
          <w:sz w:val="22"/>
          <w:szCs w:val="22"/>
        </w:rPr>
        <w:t xml:space="preserve">Jira: each recommendation from this BRD maps to a Jira Epic. User stories and implementation tasks are created within each Epic and linked to the originating BRD section.</w:t>
      </w:r>
    </w:p>
    <w:p>
      <w:pPr>
        <w:pStyle w:val="ListParagraph"/>
        <w:numPr>
          <w:ilvl w:val="0"/>
          <w:numId w:val="2"/>
        </w:numPr>
        <w:spacing w:after="60" w:before="60"/>
      </w:pPr>
      <w:r>
        <w:rPr>
          <w:rFonts w:ascii="Arial" w:cs="Arial" w:eastAsia="Arial" w:hAnsi="Arial"/>
          <w:color w:val="1A1A1A"/>
          <w:sz w:val="22"/>
          <w:szCs w:val="22"/>
        </w:rPr>
        <w:t xml:space="preserve">Every Jira story must include an acceptance criterion, a data quality consideration, and a link to the relevant SQL module in GitHub.</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Operational Runbook</w:t>
      </w:r>
    </w:p>
    <w:p>
      <w:pPr>
        <w:spacing w:after="100" w:before="80"/>
      </w:pPr>
      <w:r>
        <w:rPr>
          <w:rFonts w:ascii="Arial" w:cs="Arial" w:eastAsia="Arial" w:hAnsi="Arial"/>
          <w:color w:val="1A1A1A"/>
          <w:sz w:val="22"/>
          <w:szCs w:val="22"/>
        </w:rPr>
        <w:t xml:space="preserve">The following steps must be executed in order at each scheduled data refresh:</w:t>
      </w:r>
    </w:p>
    <w:p>
      <w:pPr>
        <w:pStyle w:val="ListParagraph"/>
        <w:numPr>
          <w:ilvl w:val="0"/>
          <w:numId w:val="2"/>
        </w:numPr>
        <w:spacing w:after="60" w:before="60"/>
      </w:pPr>
      <w:r>
        <w:rPr>
          <w:rFonts w:ascii="Arial" w:cs="Arial" w:eastAsia="Arial" w:hAnsi="Arial"/>
          <w:color w:val="1A1A1A"/>
          <w:sz w:val="22"/>
          <w:szCs w:val="22"/>
        </w:rPr>
        <w:t xml:space="preserve">Refresh raw data extracts and validate row counts against the previous refresh baseline.</w:t>
      </w:r>
    </w:p>
    <w:p>
      <w:pPr>
        <w:pStyle w:val="ListParagraph"/>
        <w:numPr>
          <w:ilvl w:val="0"/>
          <w:numId w:val="2"/>
        </w:numPr>
        <w:spacing w:after="60" w:before="60"/>
      </w:pPr>
      <w:r>
        <w:rPr>
          <w:rFonts w:ascii="Arial" w:cs="Arial" w:eastAsia="Arial" w:hAnsi="Arial"/>
          <w:color w:val="1A1A1A"/>
          <w:sz w:val="22"/>
          <w:szCs w:val="22"/>
        </w:rPr>
        <w:t xml:space="preserve">Execute all eight SQL modules in dependency order; store results as versioned views with timestamp.</w:t>
      </w:r>
    </w:p>
    <w:p>
      <w:pPr>
        <w:pStyle w:val="ListParagraph"/>
        <w:numPr>
          <w:ilvl w:val="0"/>
          <w:numId w:val="2"/>
        </w:numPr>
        <w:spacing w:after="60" w:before="60"/>
      </w:pPr>
      <w:r>
        <w:rPr>
          <w:rFonts w:ascii="Arial" w:cs="Arial" w:eastAsia="Arial" w:hAnsi="Arial"/>
          <w:color w:val="1A1A1A"/>
          <w:sz w:val="22"/>
          <w:szCs w:val="22"/>
        </w:rPr>
        <w:t xml:space="preserve">Recompute all BRD-defined KPIs and update dashboard snapshots (post-Phase 2).</w:t>
      </w:r>
    </w:p>
    <w:p>
      <w:pPr>
        <w:pStyle w:val="ListParagraph"/>
        <w:numPr>
          <w:ilvl w:val="0"/>
          <w:numId w:val="2"/>
        </w:numPr>
        <w:spacing w:after="60" w:before="60"/>
      </w:pPr>
      <w:r>
        <w:rPr>
          <w:rFonts w:ascii="Arial" w:cs="Arial" w:eastAsia="Arial" w:hAnsi="Arial"/>
          <w:color w:val="1A1A1A"/>
          <w:sz w:val="22"/>
          <w:szCs w:val="22"/>
        </w:rPr>
        <w:t xml:space="preserve">Review anomaly log: flag revenue deltas &gt;10% MoM, delivery delay spikes, and review score drops &gt;0.3 points.</w:t>
      </w:r>
    </w:p>
    <w:p>
      <w:pPr>
        <w:pStyle w:val="ListParagraph"/>
        <w:numPr>
          <w:ilvl w:val="0"/>
          <w:numId w:val="2"/>
        </w:numPr>
        <w:spacing w:after="60" w:before="60"/>
      </w:pPr>
      <w:r>
        <w:rPr>
          <w:rFonts w:ascii="Arial" w:cs="Arial" w:eastAsia="Arial" w:hAnsi="Arial"/>
          <w:color w:val="1A1A1A"/>
          <w:sz w:val="22"/>
          <w:szCs w:val="22"/>
        </w:rPr>
        <w:t xml:space="preserve">Publish refresh summary in Confluence and update linked Jira issues with latest KPI values.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Risks and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33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3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R1</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 drift in product category taxonomy invalidates historical comparisons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 monthly reconciliation with category translation table; alert on new unmapped categories.</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R2</w:t>
            </w:r>
          </w:p>
        </w:tc>
        <w:tc>
          <w:tcPr>
            <w:tcW w:type="dxa" w:w="2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Geolocation coverage gaps distort regional delivery analysis</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33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Backfill missing ZIPs with nearest-centroid approximation; flag estimated records with a confidence score.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R3</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Payment installment normalization errors inflate or deflate revenue figures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Normalize to total-paid-per-order before aggregation; cross-ledger reconciliation after each refresh.</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R4</w:t>
            </w:r>
          </w:p>
        </w:tc>
        <w:tc>
          <w:tcPr>
            <w:tcW w:type="dxa" w:w="2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Review score bias from unverified or incentivized reviews</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33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Weight scores by verified delivery status and time-since-delivery; exclude outliers with &lt;5 reviews per seller.</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R5</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Scope creep from stakeholder requests for additional ad-hoc analyses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new analytical work must follow this BRD change control process and be logged as a Jira Epic before development.</w:t>
            </w:r>
          </w:p>
        </w:tc>
      </w:tr>
      <w:tr>
        <w:tc>
          <w:tcPr>
            <w:tcW w:type="dxa" w:w="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R6</w:t>
            </w:r>
          </w:p>
        </w:tc>
        <w:tc>
          <w:tcPr>
            <w:tcW w:type="dxa" w:w="26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Key-person dependency on the authoring analyst for module knowledge</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4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33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Runbook completeness tested during onboarding; all modules peer-reviewed and documented before sign-off.</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Future Enhancements (Out-of-Scope)</w:t>
      </w:r>
    </w:p>
    <w:p>
      <w:pPr>
        <w:spacing w:after="100" w:before="80"/>
      </w:pPr>
      <w:r>
        <w:rPr>
          <w:rFonts w:ascii="Arial" w:cs="Arial" w:eastAsia="Arial" w:hAnsi="Arial"/>
          <w:color w:val="1A1A1A"/>
          <w:sz w:val="22"/>
          <w:szCs w:val="22"/>
        </w:rPr>
        <w:t xml:space="preserve">The following enhancements are intentionally deferred from this phase and documented here to preserve institutional context for future planning cycles.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Phase 2 — BI Dashboard Integration</w:t>
      </w:r>
    </w:p>
    <w:p>
      <w:pPr>
        <w:pStyle w:val="ListParagraph"/>
        <w:numPr>
          <w:ilvl w:val="0"/>
          <w:numId w:val="2"/>
        </w:numPr>
        <w:spacing w:after="60" w:before="60"/>
      </w:pPr>
      <w:r>
        <w:rPr>
          <w:rFonts w:ascii="Arial" w:cs="Arial" w:eastAsia="Arial" w:hAnsi="Arial"/>
          <w:color w:val="1A1A1A"/>
          <w:sz w:val="22"/>
          <w:szCs w:val="22"/>
        </w:rPr>
        <w:t xml:space="preserve">Integrate Power BI or Tableau dashboards consuming SQL module outputs for stakeholder self-serve access.</w:t>
      </w:r>
    </w:p>
    <w:p>
      <w:pPr>
        <w:pStyle w:val="ListParagraph"/>
        <w:numPr>
          <w:ilvl w:val="0"/>
          <w:numId w:val="2"/>
        </w:numPr>
        <w:spacing w:after="60" w:before="60"/>
      </w:pPr>
      <w:r>
        <w:rPr>
          <w:rFonts w:ascii="Arial" w:cs="Arial" w:eastAsia="Arial" w:hAnsi="Arial"/>
          <w:color w:val="1A1A1A"/>
          <w:sz w:val="22"/>
          <w:szCs w:val="22"/>
        </w:rPr>
        <w:t xml:space="preserve">Implement near-real-time data ingestion and incremental refresh models to replace full-refresh batch processing.</w:t>
      </w:r>
    </w:p>
    <w:p>
      <w:pPr>
        <w:pStyle w:val="ListParagraph"/>
        <w:numPr>
          <w:ilvl w:val="0"/>
          <w:numId w:val="2"/>
        </w:numPr>
        <w:spacing w:after="60" w:before="60"/>
      </w:pPr>
      <w:r>
        <w:rPr>
          <w:rFonts w:ascii="Arial" w:cs="Arial" w:eastAsia="Arial" w:hAnsi="Arial"/>
          <w:color w:val="1A1A1A"/>
          <w:sz w:val="22"/>
          <w:szCs w:val="22"/>
        </w:rPr>
        <w:t xml:space="preserve">Automate stakeholder reporting (scheduled PDF/email delivery) and anomaly alerting (threshold-triggered notifications).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Phase 3 — Predictive Analytics</w:t>
      </w:r>
    </w:p>
    <w:p>
      <w:pPr>
        <w:pStyle w:val="ListParagraph"/>
        <w:numPr>
          <w:ilvl w:val="0"/>
          <w:numId w:val="2"/>
        </w:numPr>
        <w:spacing w:after="60" w:before="60"/>
      </w:pPr>
      <w:r>
        <w:rPr>
          <w:rFonts w:ascii="Arial" w:cs="Arial" w:eastAsia="Arial" w:hAnsi="Arial"/>
          <w:color w:val="1A1A1A"/>
          <w:sz w:val="22"/>
          <w:szCs w:val="22"/>
        </w:rPr>
        <w:t xml:space="preserve">Deploy demand forecasting model using historical category and seasonal sales patterns.</w:t>
      </w:r>
    </w:p>
    <w:p>
      <w:pPr>
        <w:pStyle w:val="ListParagraph"/>
        <w:numPr>
          <w:ilvl w:val="0"/>
          <w:numId w:val="2"/>
        </w:numPr>
        <w:spacing w:after="60" w:before="60"/>
      </w:pPr>
      <w:r>
        <w:rPr>
          <w:rFonts w:ascii="Arial" w:cs="Arial" w:eastAsia="Arial" w:hAnsi="Arial"/>
          <w:color w:val="1A1A1A"/>
          <w:sz w:val="22"/>
          <w:szCs w:val="22"/>
        </w:rPr>
        <w:t xml:space="preserve">Build churn propensity model leveraging LTV cohort and engagement signals.</w:t>
      </w:r>
    </w:p>
    <w:p>
      <w:pPr>
        <w:pStyle w:val="ListParagraph"/>
        <w:numPr>
          <w:ilvl w:val="0"/>
          <w:numId w:val="2"/>
        </w:numPr>
        <w:spacing w:after="60" w:before="60"/>
      </w:pPr>
      <w:r>
        <w:rPr>
          <w:rFonts w:ascii="Arial" w:cs="Arial" w:eastAsia="Arial" w:hAnsi="Arial"/>
          <w:color w:val="1A1A1A"/>
          <w:sz w:val="22"/>
          <w:szCs w:val="22"/>
        </w:rPr>
        <w:t xml:space="preserve">Develop delivery lead time prediction model using carrier, region, and product-type features.</w:t>
      </w:r>
    </w:p>
    <w:p>
      <w:pPr>
        <w:pStyle w:val="ListParagraph"/>
        <w:numPr>
          <w:ilvl w:val="0"/>
          <w:numId w:val="2"/>
        </w:numPr>
        <w:spacing w:after="60" w:before="60"/>
      </w:pPr>
      <w:r>
        <w:rPr>
          <w:rFonts w:ascii="Arial" w:cs="Arial" w:eastAsia="Arial" w:hAnsi="Arial"/>
          <w:color w:val="1A1A1A"/>
          <w:sz w:val="22"/>
          <w:szCs w:val="22"/>
        </w:rPr>
        <w:t xml:space="preserve">Publish model outputs as additional SQL views to maintain pipeline consistency.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AOV</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Average Order Value — gross revenue divided by the count of delivered orders.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BRD</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Business Requirements Document — this document.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CSAT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 Satisfaction — proxied in this project by the order review_score field.</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CTE</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Common Table Expression — a modular SQL subquery used for readability and testability.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DXA</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 eXtended Attribute — unit of measurement used in Word/OOXML (1440 DXA = 1 inch).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Gross Revenue</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SUM of price + freight_value for all delivered or shipped orders.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Jira Epic</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Jira work item grouping related stories and tasks for a single recommendation or initiative.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LTV</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Customer Lifetime Value — cumulative gross revenue generated by a customer across all delivered orders.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MoM</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Month-over-Month — period-on-period comparison between consecutive calendar months.</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On-Time Delivery Rate</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Proportion of orders delivered on or before the estimated delivery date.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Pull Request — a GitHub code review request before merging to the main branch.</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SLA</w:t>
            </w:r>
          </w:p>
        </w:tc>
        <w:tc>
          <w:tcPr>
            <w:tcW w:type="dxa" w:w="6560"/>
            <w:tcBorders>
              <w:top w:val="single" w:color="BDD7EE" w:sz="1"/>
              <w:left w:val="single" w:color="BDD7EE" w:sz="1"/>
              <w:bottom w:val="single" w:color="BDD7EE" w:sz="1"/>
              <w:right w:val="single" w:color="BDD7EE"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Service Level Agreement — the contractual or operational delivery time commitment.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p50 / p90</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50th and 90th percentile values of a metric distribution (median and near-worst-case).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680"/>
        <w:tab w:val="right" w:pos="9360"/>
      </w:tabs>
      <w:spacing w:before="0"/>
    </w:pPr>
    <w:r>
      <w:rPr>
        <w:rFonts w:ascii="Arial" w:cs="Arial" w:eastAsia="Arial" w:hAnsi="Arial"/>
        <w:color w:val="888888"/>
        <w:sz w:val="16"/>
        <w:szCs w:val="16"/>
      </w:rPr>
      <w:t xml:space="preserve">Mohammad Haseeb</w:t>
    </w:r>
    <w:r>
      <w:rPr>
        <w:rFonts w:ascii="Arial" w:cs="Arial" w:eastAsia="Arial" w:hAnsi="Arial"/>
        <w:sz w:val="16"/>
        <w:szCs w:val="16"/>
      </w:rPr>
      <w:t xml:space="preserve">	</w:t>
    </w:r>
    <w:r>
      <w:rPr>
        <w:rFonts w:ascii="Arial" w:cs="Arial" w:eastAsia="Arial" w:hAnsi="Arial"/>
        <w:b/>
        <w:bCs/>
        <w:color w:val="888888"/>
        <w:sz w:val="16"/>
        <w:szCs w:val="16"/>
      </w:rPr>
      <w:t xml:space="preserve">CONFIDENTIAL</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8"/>
        <w:szCs w:val="18"/>
      </w:rPr>
      <w:t xml:space="preserve">E-Commerce Sales Analysis Platform  |  Business Requirements Document</w:t>
    </w:r>
    <w:r>
      <w:rPr>
        <w:rFonts w:ascii="Arial" w:cs="Arial" w:eastAsia="Arial" w:hAnsi="Arial"/>
        <w:i/>
        <w:iCs/>
        <w:color w:val="888888"/>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2026-04-29T02:20:20.149Z</dcterms:created>
  <dcterms:modified xsi:type="dcterms:W3CDTF">2026-04-29T02:20:20.150Z</dcterms:modified>
</cp:coreProperties>
</file>

<file path=docProps/custom.xml><?xml version="1.0" encoding="utf-8"?>
<Properties xmlns="http://schemas.openxmlformats.org/officeDocument/2006/custom-properties" xmlns:vt="http://schemas.openxmlformats.org/officeDocument/2006/docPropsVTypes"/>
</file>