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National University of Computer &amp; Emerging Sciences, Karachi</w:t>
      </w:r>
    </w:p>
    <w:p/>
    <w:p>
      <w:pPr>
        <w:jc w:val="center"/>
      </w:pPr>
      <w:r>
        <w:rPr>
          <w:rFonts w:ascii="Times New Roman" w:hAnsi="Times New Roman"/>
          <w:b/>
          <w:sz w:val="32"/>
        </w:rPr>
        <w:t>Project Report</w:t>
      </w:r>
    </w:p>
    <w:p>
      <w:pPr>
        <w:jc w:val="center"/>
      </w:pPr>
      <w:r>
        <w:rPr>
          <w:rFonts w:ascii="Times New Roman" w:hAnsi="Times New Roman"/>
          <w:b/>
          <w:sz w:val="28"/>
        </w:rPr>
        <w:t>Deep Learning Electricity Load Forecasting System</w:t>
      </w:r>
    </w:p>
    <w:p/>
    <w:p>
      <w:pPr>
        <w:jc w:val="center"/>
      </w:pPr>
      <w:r>
        <w:rPr>
          <w:rFonts w:ascii="Times New Roman" w:hAnsi="Times New Roman"/>
          <w:sz w:val="24"/>
        </w:rPr>
        <w:t>Course: Software Engineering</w:t>
      </w:r>
    </w:p>
    <w:p>
      <w:pPr>
        <w:jc w:val="center"/>
      </w:pPr>
      <w:r>
        <w:rPr>
          <w:rFonts w:ascii="Times New Roman" w:hAnsi="Times New Roman"/>
          <w:sz w:val="24"/>
        </w:rPr>
        <w:t>Semester: Spring 2026</w:t>
      </w:r>
    </w:p>
    <w:p/>
    <w:p>
      <w:pPr>
        <w:jc w:val="center"/>
      </w:pPr>
      <w:r>
        <w:rPr>
          <w:rFonts w:ascii="Times New Roman" w:hAnsi="Times New Roman"/>
          <w:b/>
        </w:rPr>
        <w:t>Prepared By</w:t>
      </w:r>
    </w:p>
    <w:p>
      <w:pPr>
        <w:jc w:val="center"/>
      </w:pPr>
      <w:r>
        <w:rPr>
          <w:rFonts w:ascii="Times New Roman" w:hAnsi="Times New Roman"/>
          <w:sz w:val="24"/>
        </w:rPr>
        <w:t>Abdul Wasay — 23L-0658</w:t>
      </w:r>
    </w:p>
    <w:p>
      <w:pPr>
        <w:jc w:val="center"/>
      </w:pPr>
      <w:r>
        <w:rPr>
          <w:rFonts w:ascii="Times New Roman" w:hAnsi="Times New Roman"/>
          <w:sz w:val="24"/>
        </w:rPr>
        <w:t>Haseeb Asif — 23K-0539</w:t>
      </w:r>
    </w:p>
    <w:p>
      <w:r>
        <w:br w:type="page"/>
      </w:r>
    </w:p>
    <w:p>
      <w:pPr>
        <w:pStyle w:val="Heading2"/>
      </w:pPr>
      <w:r>
        <w:t>Abstract</w:t>
      </w:r>
    </w:p>
    <w:p>
      <w:r>
        <w:rPr>
          <w:rFonts w:ascii="Times New Roman" w:hAnsi="Times New Roman"/>
        </w:rPr>
        <w:t xml:space="preserve">This project report documents the </w:t>
      </w:r>
      <w:r>
        <w:rPr>
          <w:rFonts w:ascii="Times New Roman" w:hAnsi="Times New Roman"/>
          <w:b/>
        </w:rPr>
        <w:t>Deep Learning Electricity Load Forecasting System</w:t>
      </w:r>
      <w:r>
        <w:rPr>
          <w:rFonts w:ascii="Times New Roman" w:hAnsi="Times New Roman"/>
        </w:rPr>
        <w:t>: scope, functional and non-functional requirements, work breakdown structure, system architecture, test cases for key functionality, and a categorized risk assessment—per the Spring 2026 Software Engineering project requirements.</w:t>
      </w:r>
    </w:p>
    <w:p>
      <w:pPr>
        <w:pStyle w:val="Heading1"/>
      </w:pPr>
      <w:r>
        <w:t>1. Project title and group members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Project title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Deep Learning Electricity Load Forecasting System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Group members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Abdul Wasay — 23L-0658; Haseeb Asif — 23K-0539</w:t>
            </w:r>
          </w:p>
        </w:tc>
      </w:tr>
    </w:tbl>
    <w:p/>
    <w:p>
      <w:pPr>
        <w:pStyle w:val="Heading1"/>
      </w:pPr>
      <w:r>
        <w:t>2. Project scope</w:t>
      </w:r>
    </w:p>
    <w:p>
      <w:r>
        <w:rPr>
          <w:rFonts w:ascii="Times New Roman" w:hAnsi="Times New Roman"/>
        </w:rPr>
        <w:t xml:space="preserve">The system is a </w:t>
      </w:r>
      <w:r>
        <w:rPr>
          <w:rFonts w:ascii="Times New Roman" w:hAnsi="Times New Roman"/>
          <w:b/>
        </w:rPr>
        <w:t>prototype forecasting application</w:t>
      </w:r>
      <w:r>
        <w:rPr>
          <w:rFonts w:ascii="Times New Roman" w:hAnsi="Times New Roman"/>
        </w:rPr>
        <w:t>—not a grid control or billing system.</w:t>
      </w:r>
    </w:p>
    <w:p>
      <w:r>
        <w:rPr>
          <w:i/>
        </w:rPr>
        <w:t>In scope</w:t>
      </w:r>
    </w:p>
    <w:p>
      <w:pPr>
        <w:pStyle w:val="ListBullet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Offline ML pipeline:</w:t>
      </w:r>
      <w:r>
        <w:rPr>
          <w:rFonts w:ascii="Times New Roman" w:hAnsi="Times New Roman"/>
        </w:rPr>
        <w:t xml:space="preserve"> Ingest UCI electricity data (`LD2011_2014.txt`), preprocess to hourly resolution, chronological train (80%) / validation (10%) / test (10%) splits, </w:t>
      </w:r>
      <w:r>
        <w:rPr>
          <w:rFonts w:ascii="Times New Roman" w:hAnsi="Times New Roman"/>
          <w:b/>
        </w:rPr>
        <w:t>RobustScaler</w:t>
      </w:r>
      <w:r>
        <w:rPr>
          <w:rFonts w:ascii="Times New Roman" w:hAnsi="Times New Roman"/>
        </w:rPr>
        <w:t xml:space="preserve"> fit on train only, PyTorch LSTM training with optional multi-seed checkpoints, seasonal naive baseline, evaluation producing `metrics.json` and figures—runnable on Modal with Volume `electricity-data` for reproducibility.</w:t>
      </w:r>
    </w:p>
    <w:p>
      <w:pPr>
        <w:pStyle w:val="ListBullet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Runtime demo stack:</w:t>
      </w:r>
      <w:r>
        <w:rPr>
          <w:rFonts w:ascii="Times New Roman" w:hAnsi="Times New Roman"/>
        </w:rPr>
        <w:t xml:space="preserve"> FastAPI service with health, metadata, paginated test-window listing, and per-window inference (</w:t>
      </w:r>
      <w:r>
        <w:rPr>
          <w:rFonts w:ascii="Times New Roman" w:hAnsi="Times New Roman"/>
          <w:b/>
        </w:rPr>
        <w:t>single best</w:t>
      </w:r>
      <w:r>
        <w:rPr>
          <w:rFonts w:ascii="Times New Roman" w:hAnsi="Times New Roman"/>
        </w:rPr>
        <w:t xml:space="preserve"> checkpoint or </w:t>
      </w:r>
      <w:r>
        <w:rPr>
          <w:rFonts w:ascii="Times New Roman" w:hAnsi="Times New Roman"/>
          <w:b/>
        </w:rPr>
        <w:t>ensemble mean</w:t>
      </w:r>
      <w:r>
        <w:rPr>
          <w:rFonts w:ascii="Times New Roman" w:hAnsi="Times New Roman"/>
        </w:rPr>
        <w:t xml:space="preserve"> when members exist).</w:t>
      </w:r>
    </w:p>
    <w:p>
      <w:pPr>
        <w:pStyle w:val="ListBullet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Web UI:</w:t>
      </w:r>
      <w:r>
        <w:rPr>
          <w:rFonts w:ascii="Times New Roman" w:hAnsi="Times New Roman"/>
        </w:rPr>
        <w:t xml:space="preserve"> Next.js dashboard showing aggregate test metrics, model mode selection, test-window selection/filtering, and charts comparing LSTM forecast, ground truth, and naive baseline over a </w:t>
      </w:r>
      <w:r>
        <w:rPr>
          <w:rFonts w:ascii="Times New Roman" w:hAnsi="Times New Roman"/>
          <w:b/>
        </w:rPr>
        <w:t>24-hour</w:t>
      </w:r>
      <w:r>
        <w:rPr>
          <w:rFonts w:ascii="Times New Roman" w:hAnsi="Times New Roman"/>
        </w:rPr>
        <w:t xml:space="preserve"> horizon (with </w:t>
      </w:r>
      <w:r>
        <w:rPr>
          <w:rFonts w:ascii="Times New Roman" w:hAnsi="Times New Roman"/>
          <w:b/>
        </w:rPr>
        <w:t>336-hour</w:t>
      </w:r>
      <w:r>
        <w:rPr>
          <w:rFonts w:ascii="Times New Roman" w:hAnsi="Times New Roman"/>
        </w:rPr>
        <w:t xml:space="preserve"> input history).</w:t>
      </w:r>
    </w:p>
    <w:p>
      <w:r>
        <w:rPr>
          <w:i/>
        </w:rPr>
        <w:t>Out of scope</w:t>
      </w:r>
    </w:p>
    <w:p>
      <w:pPr>
        <w:pStyle w:val="ListBullet"/>
      </w:pPr>
      <w:r>
        <w:rPr>
          <w:rFonts w:ascii="Times New Roman" w:hAnsi="Times New Roman"/>
        </w:rPr>
        <w:t>Live SCADA/MQTT ingestion; production SLAs or regulatory compliance; multi-tenant authentication; commercial multi-customer deployment; training inside the web request path; automatic retraining triggers.</w:t>
      </w:r>
    </w:p>
    <w:p>
      <w:pPr>
        <w:pStyle w:val="Heading1"/>
      </w:pPr>
      <w:r>
        <w:t>3. Functional requirements</w:t>
      </w:r>
    </w:p>
    <w:p>
      <w:pPr>
        <w:pStyle w:val="Heading2"/>
      </w:pPr>
      <w:r>
        <w:t>3.1 Data preprocessing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The system shall ingest `LD2011_2014.txt` (semicolon SEP, comma decimal) from the published UCI ZIP source.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FR-2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The system shall resample sub-hourly readings to </w:t>
            </w:r>
            <w:r>
              <w:rPr>
                <w:rFonts w:ascii="Times New Roman" w:hAnsi="Times New Roman"/>
                <w:b/>
              </w:rPr>
              <w:t>mean hourly</w:t>
            </w:r>
            <w:r>
              <w:rPr>
                <w:rFonts w:ascii="Times New Roman" w:hAnsi="Times New Roman"/>
              </w:rPr>
              <w:t xml:space="preserve"> kW and persist a parquet representation including derived DST indicator columns (`is_march_dst_short`, `is_october_dst_long`, `is_dst_window`).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FR-3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The system shall trim leading stationary near-zero inactive prefix before modeling per preprocessing rules documented in pipeline materials.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FR-4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The system shall fit </w:t>
            </w:r>
            <w:r>
              <w:rPr>
                <w:rFonts w:ascii="Times New Roman" w:hAnsi="Times New Roman"/>
                <w:b/>
              </w:rPr>
              <w:t>RobustScaler</w:t>
            </w:r>
            <w:r>
              <w:rPr>
                <w:rFonts w:ascii="Times New Roman" w:hAnsi="Times New Roman"/>
              </w:rPr>
              <w:t xml:space="preserve"> exclusively on training-segment loads and reuse those parameters during validation/test window construction and inference.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FR-5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The system shall materialize chronological split boundaries (train 80%, validation 10%, test 10%) surfaced through `splits.json`.</w:t>
            </w:r>
          </w:p>
        </w:tc>
      </w:tr>
    </w:tbl>
    <w:p/>
    <w:p>
      <w:pPr>
        <w:pStyle w:val="Heading2"/>
      </w:pPr>
      <w:r>
        <w:t>3.2 Model training and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FR-6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The system shall expose an LSTM architecture accepting sliding windows shaped </w:t>
            </w:r>
            <w:r>
              <w:rPr>
                <w:rFonts w:ascii="Times New Roman" w:hAnsi="Times New Roman"/>
                <w:b/>
              </w:rPr>
              <w:t>(336 timesteps × 8 features)</w:t>
            </w:r>
            <w:r>
              <w:rPr>
                <w:rFonts w:ascii="Times New Roman" w:hAnsi="Times New Roman"/>
              </w:rPr>
              <w:t xml:space="preserve"> (scaled load, sinusoidal hour/DOW encodings, DST flags).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FR-7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The system shall implement a seasonal naive predictor using primary lag </w:t>
            </w:r>
            <w:r>
              <w:rPr>
                <w:rFonts w:ascii="Times New Roman" w:hAnsi="Times New Roman"/>
                <w:b/>
              </w:rPr>
              <w:t>168 h</w:t>
            </w:r>
            <w:r>
              <w:rPr>
                <w:rFonts w:ascii="Times New Roman" w:hAnsi="Times New Roman"/>
              </w:rPr>
              <w:t xml:space="preserve"> per horizon step, with </w:t>
            </w:r>
            <w:r>
              <w:rPr>
                <w:rFonts w:ascii="Times New Roman" w:hAnsi="Times New Roman"/>
                <w:b/>
              </w:rPr>
              <w:t>24 h</w:t>
            </w:r>
            <w:r>
              <w:rPr>
                <w:rFonts w:ascii="Times New Roman" w:hAnsi="Times New Roman"/>
              </w:rPr>
              <w:t xml:space="preserve"> fallback where required.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FR-8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The system shall support optional training across multiple RNG seeds exporting distinct member checkpoints and a manifest documenting validation MAE in kW and best_seed selection.</w:t>
            </w:r>
          </w:p>
        </w:tc>
      </w:tr>
    </w:tbl>
    <w:p/>
    <w:p>
      <w:pPr>
        <w:pStyle w:val="Heading2"/>
      </w:pPr>
      <w:r>
        <w:t>3.3 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FR-9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The evaluation routine shall optionally </w:t>
            </w:r>
            <w:r>
              <w:rPr>
                <w:rFonts w:ascii="Times New Roman" w:hAnsi="Times New Roman"/>
                <w:b/>
              </w:rPr>
              <w:t>average ensemble member scaled-space outputs</w:t>
            </w:r>
            <w:r>
              <w:rPr>
                <w:rFonts w:ascii="Times New Roman" w:hAnsi="Times New Roman"/>
              </w:rPr>
              <w:t xml:space="preserve"> prior to inverse scaling when multiple compatible checkpoints exist.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FR-10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The system shall write `metrics.json` containing at minimum test MAE/RMSE for LSTM vs naive </w:t>
            </w:r>
            <w:r>
              <w:rPr>
                <w:rFonts w:ascii="Times New Roman" w:hAnsi="Times New Roman"/>
                <w:b/>
              </w:rPr>
              <w:t>in kW</w:t>
            </w:r>
            <w:r>
              <w:rPr>
                <w:rFonts w:ascii="Times New Roman" w:hAnsi="Times New Roman"/>
              </w:rPr>
              <w:t>, sMAPE, skill score versus naive, count of enumerated test windows, and ensemble membership metadata.</w:t>
            </w:r>
          </w:p>
        </w:tc>
      </w:tr>
    </w:tbl>
    <w:p/>
    <w:p>
      <w:pPr>
        <w:pStyle w:val="Heading2"/>
      </w:pPr>
      <w:r>
        <w:t>3.4 Inference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FR-11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The REST service shall expose `GET /api/health` returning availability boolean, served model modality labels, total valid </w:t>
            </w:r>
            <w:r>
              <w:rPr>
                <w:rFonts w:ascii="Times New Roman" w:hAnsi="Times New Roman"/>
                <w:b/>
              </w:rPr>
              <w:t>test-origin</w:t>
            </w:r>
            <w:r>
              <w:rPr>
                <w:rFonts w:ascii="Times New Roman" w:hAnsi="Times New Roman"/>
              </w:rPr>
              <w:t xml:space="preserve"> indices.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FR-12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`GET /api/meta` shall return fused metadata: meter id, chronological coverage, window (`W`) and horizon (`H`), first/last test prediction timestamps, raw `metrics`, optional ensemble manifest parity with disk JSON, plus serialized training-config snapshot fragments.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FR-13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`GET /api/test-windows` shall paginate enumerated legal indices with ISO timestamps bounding each window, optionally filterable (`q=` date prefix) plus `random=` convenience flag.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FR-14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`POST /api/predict` shall accept `{t, model∈{"single","ensemble"}}`, reject illegal `t`, assemble context history length </w:t>
            </w:r>
            <w:r>
              <w:rPr>
                <w:rFonts w:ascii="Times New Roman" w:hAnsi="Times New Roman"/>
                <w:b/>
              </w:rPr>
              <w:t>W</w:t>
            </w:r>
            <w:r>
              <w:rPr>
                <w:rFonts w:ascii="Times New Roman" w:hAnsi="Times New Roman"/>
              </w:rPr>
              <w:t xml:space="preserve">, produce </w:t>
            </w:r>
            <w:r>
              <w:rPr>
                <w:rFonts w:ascii="Times New Roman" w:hAnsi="Times New Roman"/>
                <w:b/>
              </w:rPr>
              <w:t>H</w:t>
            </w:r>
            <w:r>
              <w:rPr>
                <w:rFonts w:ascii="Times New Roman" w:hAnsi="Times New Roman"/>
              </w:rPr>
              <w:t xml:space="preserve"> predicted kW vectors, naive baseline, residuals, and window MAE/RMSE/sMAPE and skill vs naive.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FR-15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Service startup shall fail fast with actionable guidance if required artifact files are missing, enumerating search order for processed parquet path resolution.</w:t>
            </w:r>
          </w:p>
        </w:tc>
      </w:tr>
    </w:tbl>
    <w:p/>
    <w:p>
      <w:pPr>
        <w:pStyle w:val="Heading2"/>
      </w:pPr>
      <w:r>
        <w:t>3.5 Web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FR-16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Dashboard shall render global cards summarizing stored aggregate test metrics (MAE, RMSE, sMAPE, skill, NMAE%, ensemble size).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FR-17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User shall toggle inference between </w:t>
            </w:r>
            <w:r>
              <w:rPr>
                <w:rFonts w:ascii="Times New Roman" w:hAnsi="Times New Roman"/>
                <w:b/>
              </w:rPr>
              <w:t>Single best</w:t>
            </w:r>
            <w:r>
              <w:rPr>
                <w:rFonts w:ascii="Times New Roman" w:hAnsi="Times New Roman"/>
              </w:rPr>
              <w:t xml:space="preserve"> and </w:t>
            </w:r>
            <w:r>
              <w:rPr>
                <w:rFonts w:ascii="Times New Roman" w:hAnsi="Times New Roman"/>
                <w:b/>
              </w:rPr>
              <w:t>Ensemble mean</w:t>
            </w:r>
            <w:r>
              <w:rPr>
                <w:rFonts w:ascii="Times New Roman" w:hAnsi="Times New Roman"/>
              </w:rPr>
              <w:t xml:space="preserve"> when backend advertises availability.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FR-18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User shall select or filter at least one valid test window and trigger prediction display without manual tensor construction.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FR-19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Visualization shall plot trailing </w:t>
            </w:r>
            <w:r>
              <w:rPr>
                <w:rFonts w:ascii="Times New Roman" w:hAnsi="Times New Roman"/>
                <w:b/>
              </w:rPr>
              <w:t>72 h</w:t>
            </w:r>
            <w:r>
              <w:rPr>
                <w:rFonts w:ascii="Times New Roman" w:hAnsi="Times New Roman"/>
              </w:rPr>
              <w:t xml:space="preserve"> historical actual load joined with </w:t>
            </w:r>
            <w:r>
              <w:rPr>
                <w:rFonts w:ascii="Times New Roman" w:hAnsi="Times New Roman"/>
                <w:b/>
              </w:rPr>
              <w:t>24 h</w:t>
            </w:r>
            <w:r>
              <w:rPr>
                <w:rFonts w:ascii="Times New Roman" w:hAnsi="Times New Roman"/>
              </w:rPr>
              <w:t xml:space="preserve"> overlay of model forecast, ground truth, and naive curve with a vertical marker at the first predicted hour.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FR-20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Secondary chart shall compare absolute per-horizon-step errors for LSTM vs naive (24 grouped bars).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FR-21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Localized per-window summary statistics shall update after each successful prediction request.</w:t>
            </w:r>
          </w:p>
        </w:tc>
      </w:tr>
    </w:tbl>
    <w:p/>
    <w:p>
      <w:pPr>
        <w:pStyle w:val="Heading1"/>
      </w:pPr>
      <w:r>
        <w:t>4.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Category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Requirement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NFR-1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Usability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 xml:space="preserve">A first-time reviewer shall complete a valid forecast visualization path (select window → view charts) in </w:t>
            </w:r>
            <w:r>
              <w:rPr>
                <w:rFonts w:ascii="Times New Roman" w:hAnsi="Times New Roman"/>
                <w:b/>
              </w:rPr>
              <w:t>≤ 5 minutes</w:t>
            </w:r>
            <w:r>
              <w:rPr>
                <w:rFonts w:ascii="Times New Roman" w:hAnsi="Times New Roman"/>
              </w:rPr>
              <w:t xml:space="preserve"> following README instructions.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NFR-2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Performance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 xml:space="preserve">Single-window prediction round-trip (local CPU) shall typically complete </w:t>
            </w:r>
            <w:r>
              <w:rPr>
                <w:rFonts w:ascii="Times New Roman" w:hAnsi="Times New Roman"/>
                <w:b/>
              </w:rPr>
              <w:t>&lt; 2 s</w:t>
            </w:r>
            <w:r>
              <w:rPr>
                <w:rFonts w:ascii="Times New Roman" w:hAnsi="Times New Roman"/>
              </w:rPr>
              <w:t xml:space="preserve"> excluding network latency; cold model load occurs at process start, not per request.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NFR-3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Reliability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Invalid `t` or absent artifacts shall yield structured HTTP 4xx/5xx with descriptive JSON/text body—no silent partial tensors.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NFR-4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Maintainability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Separation of concerns: `src` training core vs `backend` serving vs `frontend` UI; configuration constants centralized (`src/config.py`).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NFR-5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Portability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Stack runs on macOS/Linux/Windows with documented dependency installs (`requirements.txt`, `npm`).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NFR-6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Reproducibility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Training seeds enumerated; manifest records multiple members; evaluation label distinguishes ensemble vs single in metrics file.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NFR-7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Observability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Health endpoint supports minimal operational ping; logging of startup failures includes missing file enumeration.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NFR-8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Explainability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</w:rPr>
              <w:t>UI differentiates model vs naive vs actual; summary skill metric contextualizes uplift over naive.</w:t>
            </w:r>
          </w:p>
        </w:tc>
      </w:tr>
    </w:tbl>
    <w:p/>
    <w:p>
      <w:pPr>
        <w:pStyle w:val="Heading1"/>
      </w:pPr>
      <w:r>
        <w:t>5. Work Breakdown Structure (WBS)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WBS ID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Work package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Description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Key deliverables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Project management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Scope, milestones, demo rehearsal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Project report; demo readiness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Requirements baseline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FR/NFR definition aligned to implementation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Requirement tables in this report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Data acquisition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Obtain UCI ZIP; place under `data/` or Modal Volume `/raw`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`electricityloaddiagrams20112014.zip`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Preprocessing pipeline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Hourly resample, trim, DST flags, parquet, `splits.json`, train-only scaler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`src/data.py` outputs; `processed/*.parquet`; `scaler.joblib`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Supervised windowing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Build `(W=336, F=8)` tensors; chronological splits; no test leakage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`src/windows.py` integrated with splits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4.1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Model core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 xml:space="preserve">LSTM encoder, horizon head </w:t>
            </w:r>
            <w:r>
              <w:rPr>
                <w:rFonts w:ascii="Times New Roman" w:hAnsi="Times New Roman"/>
                <w:b/>
              </w:rPr>
              <w:t>H=24</w:t>
            </w:r>
            <w:r>
              <w:rPr>
                <w:rFonts w:ascii="Times New Roman" w:hAnsi="Times New Roman"/>
              </w:rPr>
              <w:t>, config parity with checkpoint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`src/models.py`; `src/config.py`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4.2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Training and checkpointing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Modal GPU train; optional multi-seed ensemble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`src/train.py`; `modal_app.py` artifacts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4.3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Baseline and evaluation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Seasonal naive; test metrics; figures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`src/eval.py`; `metrics.json`; `figures/*.png`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Inference API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FastAPI lifespan load; health, meta, test-windows, predict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`backend/app/*`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Web dashboard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Next.js UI: metrics, window picker, charts, model toggle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`frontend/*`; README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7.0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Cloud automation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Modal Volume lifecycle; preprocess/train/eval/download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`modal_app.py`; `modal volume` usage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8.0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Integration and test execution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End-to-end demo; automated + manual test cases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`testing/` (pytest); evidence of TC runs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9.0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Documentation and submission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README, pipeline notes, report export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</w:rPr>
              <w:t>`README.md`, `testing/README.md`, `pipeline.md`, this report (`.md` / `.docx`)</w:t>
            </w:r>
          </w:p>
        </w:tc>
      </w:tr>
    </w:tbl>
    <w:p/>
    <w:p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Dependencies:</w:t>
      </w:r>
      <w:r>
        <w:rPr>
          <w:rFonts w:ascii="Times New Roman" w:hAnsi="Times New Roman"/>
        </w:rPr>
        <w:t xml:space="preserve"> 3.1 precedes 4.x; 4.2–4.3 precede 5.0; 5.0 precedes 6.0 for full UI demo.</w:t>
      </w:r>
    </w:p>
    <w:p>
      <w:pPr>
        <w:pStyle w:val="Heading1"/>
      </w:pPr>
      <w:r>
        <w:t>6. Architecture diagram</w:t>
      </w:r>
    </w:p>
    <w:p>
      <w:r>
        <w:rPr>
          <w:rFonts w:ascii="Times New Roman" w:hAnsi="Times New Roman"/>
        </w:rPr>
        <w:t xml:space="preserve">The diagram shows the </w:t>
      </w:r>
      <w:r>
        <w:rPr>
          <w:rFonts w:ascii="Times New Roman" w:hAnsi="Times New Roman"/>
          <w:b/>
        </w:rPr>
        <w:t>course demo</w:t>
      </w:r>
      <w:r>
        <w:rPr>
          <w:rFonts w:ascii="Times New Roman" w:hAnsi="Times New Roman"/>
        </w:rPr>
        <w:t xml:space="preserve"> deployment: synchronous inference (center stack) and </w:t>
      </w:r>
      <w:r>
        <w:rPr>
          <w:rFonts w:ascii="Times New Roman" w:hAnsi="Times New Roman"/>
          <w:b/>
        </w:rPr>
        <w:t>offline</w:t>
      </w:r>
      <w:r>
        <w:rPr>
          <w:rFonts w:ascii="Times New Roman" w:hAnsi="Times New Roman"/>
        </w:rPr>
        <w:t xml:space="preserve"> Modal training that writes the same artifacts the API loads at startup.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6895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8957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i/>
        </w:rPr>
        <w:t>Figure 1. Layered system architecture: Next.js → FastAPI → inference (`LoadedState`) → ML modules in `src/` (offline training path) → persistence. Dashed path: Modal preprocess/train/eval writes checkpoints and metrics.</w:t>
      </w:r>
    </w:p>
    <w:p>
      <w:pPr>
        <w:pStyle w:val="Heading1"/>
      </w:pPr>
      <w:r>
        <w:t>7. Test cases</w:t>
      </w:r>
    </w:p>
    <w:p>
      <w:r>
        <w:rPr>
          <w:rFonts w:ascii="Times New Roman" w:hAnsi="Times New Roman"/>
        </w:rPr>
        <w:t>Formal tests assume a running backend with valid artifacts (`lstm_load.pt`, `scaler.joblib`, `splits.json`, processed parquet, `metrics.json`) and optional ensemble checkpoints.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TC ID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Related FRs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Objective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Preconditions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Steps (summary)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Expected result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TC-01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FR-11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Service health and test-window count.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API started; state loaded.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`GET /api/health`.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HTTP 200; `ok` true; `models` non-empty; `n_test_windows` &gt; 0.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TC-02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FR-12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Metadata matches config and on-disk metrics.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TC-01 pass.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`GET /api/meta`; compare `window`,`horizon` to 336, 24; check `metrics`.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HTTP 200; `window`=336, `horizon`=24; metrics consistent with `metrics.json`.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TC-03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FR-13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Paginated test-window list.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TC-01 pass.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`GET /api/test-windows?limit=5&amp;offset=0`.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HTTP 200; items ≤ 5; each has `t`, `first_pred_time`, `last_pred_time`.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TC-04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FR-13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Date-prefix filter.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TC-01 pass; valid `q` prefix.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`GET /api/test-windows?q=&lt;ISO prefix&gt;`.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HTTP 200; every `first_pred_time` starts with `q`.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TC-05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FR-13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Random valid window.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TC-01 pass.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`GET /api/test-windows?random=true`.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HTTP 200; exactly one item; `t` in test set.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TC-06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FR-14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Valid prediction payload.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Valid `t`.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`POST /api/predict` `{"t":&lt;valid&gt;,"model":"single"}`.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HTTP 200; forecast arrays length 24; history length 336; `summary` has MAE/RMSE/sMAPE/skill.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TC-07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FR-14, NFR-3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Invalid `t` rejected.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API running.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`POST /api/predict` with invalid `t`.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 xml:space="preserve">HTTP </w:t>
            </w:r>
            <w:r>
              <w:rPr>
                <w:rFonts w:ascii="Times New Roman" w:hAnsi="Times New Roman"/>
                <w:b/>
              </w:rPr>
              <w:t>400</w:t>
            </w:r>
            <w:r>
              <w:rPr>
                <w:rFonts w:ascii="Times New Roman" w:hAnsi="Times New Roman"/>
              </w:rPr>
              <w:t>; message describes valid range.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TC-08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FR-14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Single vs ensemble when members exist.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Multi-seed artifacts optional.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Same `t`, `model` `single` then `ensemble`.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HTTP 200; `n_members` ≥ 1; ensemble increases members when checkpoints exist.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TC-09</w:t>
            </w:r>
            <w:r>
              <w:rPr>
                <w:rFonts w:ascii="Times New Roman" w:hAnsi="Times New Roman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FR-16–FR-21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Dashboard end-to-end.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Frontend + backend up.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Load UI; pick window; predict; view charts.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</w:rPr>
              <w:t>Metric cards and charts show actual, LSTM, naive; per-window stats update.</w:t>
            </w:r>
          </w:p>
        </w:tc>
      </w:tr>
    </w:tbl>
    <w:p/>
    <w:p>
      <w:pPr>
        <w:pStyle w:val="Heading2"/>
      </w:pPr>
      <w:r>
        <w:t>7.1 Automated tests in the codebase</w:t>
      </w:r>
    </w:p>
    <w:p>
      <w:r>
        <w:rPr>
          <w:rFonts w:ascii="Times New Roman" w:hAnsi="Times New Roman"/>
        </w:rPr>
        <w:t xml:space="preserve">The repository includes a </w:t>
      </w:r>
      <w:r>
        <w:rPr>
          <w:rFonts w:ascii="Times New Roman" w:hAnsi="Times New Roman"/>
          <w:b/>
        </w:rPr>
        <w:t>`testing/`</w:t>
      </w:r>
      <w:r>
        <w:rPr>
          <w:rFonts w:ascii="Times New Roman" w:hAnsi="Times New Roman"/>
        </w:rPr>
        <w:t xml:space="preserve"> folder (pytest) that encodes checks against the same modules described in scope: `src/windows.py`, `backend/app/inference.py`, and `backend/app/main.py`.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Path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`testing/README.md`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How to install deps and run `pytest testing`.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`pytest.ini`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Repo-root config: `pythonpath` includes `.` and `backend` so `src` and `app` imports resolve.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`testing/conftest.py`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Injects `sys.path`; fixtures `minimal_state` (synthetic `LoadedState`) and `api_client` (patches `load_state` so no `artifacts/` are required).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`testing/fixtures_minimal_state.py`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Builds in-memory hourly data, `RobustScaler`, `split_indices`, `build_feature_arrays`, and a small `LSTMForecaster` for API tests.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`testing/test_api_contracts.py`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 xml:space="preserve">HTTP tests named for </w:t>
            </w:r>
            <w:r>
              <w:rPr>
                <w:rFonts w:ascii="Times New Roman" w:hAnsi="Times New Roman"/>
                <w:b/>
              </w:rPr>
              <w:t>TC-01–TC-08</w:t>
            </w:r>
            <w:r>
              <w:rPr>
                <w:rFonts w:ascii="Times New Roman" w:hAnsi="Times New Roman"/>
              </w:rPr>
              <w:t xml:space="preserve"> (`/api/health`, `/api/meta`, `/api/test-windows`, `/api/predict`).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`testing/test_split_indices.py`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Unit tests for chronological test-window index ranges.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`testing/test_naive_and_smape.py`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</w:rPr>
              <w:t>Unit tests for `seasonal_naive_forecast` and `smape`.</w:t>
            </w:r>
          </w:p>
        </w:tc>
      </w:tr>
    </w:tbl>
    <w:p/>
    <w:p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Note: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TC-09</w:t>
      </w:r>
      <w:r>
        <w:rPr>
          <w:rFonts w:ascii="Times New Roman" w:hAnsi="Times New Roman"/>
        </w:rPr>
        <w:t xml:space="preserve"> (Next.js UI) is not automated here; run manually with `npm run dev` and the live API.</w:t>
      </w:r>
    </w:p>
    <w:p>
      <w:pPr>
        <w:pStyle w:val="Heading1"/>
      </w:pPr>
      <w:r>
        <w:t>8. Risk assessment</w:t>
      </w:r>
    </w:p>
    <w:p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Likelihood (L)</w:t>
      </w:r>
      <w:r>
        <w:rPr>
          <w:rFonts w:ascii="Times New Roman" w:hAnsi="Times New Roman"/>
        </w:rPr>
        <w:t xml:space="preserve"> and </w:t>
      </w:r>
      <w:r>
        <w:rPr>
          <w:rFonts w:ascii="Times New Roman" w:hAnsi="Times New Roman"/>
          <w:b/>
        </w:rPr>
        <w:t>impact (I):</w:t>
      </w:r>
      <w:r>
        <w:rPr>
          <w:rFonts w:ascii="Times New Roman" w:hAnsi="Times New Roman"/>
        </w:rPr>
        <w:t xml:space="preserve"> L = Low, M = Medium, H = High.</w:t>
      </w:r>
    </w:p>
    <w:p>
      <w:r>
        <w:rPr>
          <w:i/>
        </w:rPr>
        <w:t>Technical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Risk description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Mitigation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R-T1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 xml:space="preserve">LSTM </w:t>
            </w:r>
            <w:r>
              <w:rPr>
                <w:rFonts w:ascii="Times New Roman" w:hAnsi="Times New Roman"/>
                <w:b/>
              </w:rPr>
              <w:t>skill vs seasonal naive</w:t>
            </w:r>
            <w:r>
              <w:rPr>
                <w:rFonts w:ascii="Times New Roman" w:hAnsi="Times New Roman"/>
              </w:rPr>
              <w:t xml:space="preserve"> negative on held-out windows (regime shift).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Report skill in `metrics.json` and UI; residual figures; limit claims to test period.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R-T2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Checkpoint / scaler / splits mismatch</w:t>
            </w:r>
            <w:r>
              <w:rPr>
                <w:rFonts w:ascii="Times New Roman" w:hAnsi="Times New Roman"/>
              </w:rPr>
              <w:t xml:space="preserve"> after retrain.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Train and evaluate together; FR-15 fail-fast messages; single artifact bundle.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R-T3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GPU or Modal limits</w:t>
            </w:r>
            <w:r>
              <w:rPr>
                <w:rFonts w:ascii="Times New Roman" w:hAnsi="Times New Roman"/>
              </w:rPr>
              <w:t xml:space="preserve"> interrupt ensemble training.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Tunable `HIDDEN_SIZE` and seeds; `train_quick_cli`; document OOM handling.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R-T4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Window/shape errors</w:t>
            </w:r>
            <w:r>
              <w:rPr>
                <w:rFonts w:ascii="Times New Roman" w:hAnsi="Times New Roman"/>
              </w:rPr>
              <w:t xml:space="preserve"> in tensors.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 xml:space="preserve">Pydantic schemas; strict `t` validation; fixed </w:t>
            </w:r>
            <w:r>
              <w:rPr>
                <w:rFonts w:ascii="Times New Roman" w:hAnsi="Times New Roman"/>
                <w:b/>
              </w:rPr>
              <w:t>W=336, H=24, F=8</w:t>
            </w:r>
            <w:r>
              <w:rPr>
                <w:rFonts w:ascii="Times New Roman" w:hAnsi="Times New Roman"/>
              </w:rPr>
              <w:t>.</w:t>
            </w:r>
          </w:p>
        </w:tc>
      </w:tr>
    </w:tbl>
    <w:p/>
    <w:p>
      <w:r>
        <w:rPr>
          <w:i/>
        </w:rPr>
        <w:t>Schedule and academic delivery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Risk description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Mitigation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R-S1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Modal queue or long preprocess</w:t>
            </w:r>
            <w:r>
              <w:rPr>
                <w:rFonts w:ascii="Times New Roman" w:hAnsi="Times New Roman"/>
              </w:rPr>
              <w:t xml:space="preserve"> delays deadlines.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Documented run order; cached `artifacts/` for UI-only demo.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R-S2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Late integration issues</w:t>
            </w:r>
            <w:r>
              <w:rPr>
                <w:rFonts w:ascii="Times New Roman" w:hAnsi="Times New Roman"/>
              </w:rPr>
              <w:t xml:space="preserve"> (API URL, CORS).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Early full-stack rehearsal; `NEXT_PUBLIC_API_BASE`; `EXTRA_CORS_ORIGINS`.</w:t>
            </w:r>
          </w:p>
        </w:tc>
      </w:tr>
    </w:tbl>
    <w:p/>
    <w:p>
      <w:r>
        <w:rPr>
          <w:i/>
        </w:rPr>
        <w:t>Operational (runtime, deployment)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Risk description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Mitigation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R-O1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 xml:space="preserve">API </w:t>
            </w:r>
            <w:r>
              <w:rPr>
                <w:rFonts w:ascii="Times New Roman" w:hAnsi="Times New Roman"/>
                <w:b/>
              </w:rPr>
              <w:t>fails to start</w:t>
            </w:r>
            <w:r>
              <w:rPr>
                <w:rFonts w:ascii="Times New Roman" w:hAnsi="Times New Roman"/>
              </w:rPr>
              <w:t xml:space="preserve"> (missing files/paths).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FR-15; documented path resolution; README layout.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R-O2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Browser cannot reach API</w:t>
            </w:r>
            <w:r>
              <w:rPr>
                <w:rFonts w:ascii="Times New Roman" w:hAnsi="Times New Roman"/>
              </w:rPr>
              <w:t xml:space="preserve"> (ports, CORS).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Document ports 3000/8000; CORS middleware.</w:t>
            </w:r>
          </w:p>
        </w:tc>
      </w:tr>
    </w:tbl>
    <w:p/>
    <w:p>
      <w:r>
        <w:rPr>
          <w:i/>
        </w:rPr>
        <w:t>Data and external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Risk description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Mitigation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R-D1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Missing or corrupt UCI ZIP</w:t>
            </w:r>
            <w:r>
              <w:rPr>
                <w:rFonts w:ascii="Times New Roman" w:hAnsi="Times New Roman"/>
              </w:rPr>
              <w:t>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Documented upload paths to Modal Volume / local `data/`.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R-D2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DST feature misalignment</w:t>
            </w:r>
            <w:r>
              <w:rPr>
                <w:rFonts w:ascii="Times New Roman" w:hAnsi="Times New Roman"/>
              </w:rPr>
              <w:t xml:space="preserve"> vs Portuguese wall clock.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Consistent rules in `src/data.py`.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R-D3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Modal or network outage</w:t>
            </w:r>
            <w:r>
              <w:rPr>
                <w:rFonts w:ascii="Times New Roman" w:hAnsi="Times New Roman"/>
              </w:rPr>
              <w:t xml:space="preserve"> during retrain.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Pre-downloaded artifacts; demo without live training.</w:t>
            </w:r>
          </w:p>
        </w:tc>
      </w:tr>
    </w:tbl>
    <w:p/>
    <w:p>
      <w:r>
        <w:rPr>
          <w:i/>
        </w:rPr>
        <w:t>Security, compliance, and scope (prototype)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Risk description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Mitigation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R-C1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Unauthenticated REST/OpenAPI</w:t>
            </w:r>
            <w:r>
              <w:rPr>
                <w:rFonts w:ascii="Times New Roman" w:hAnsi="Times New Roman"/>
              </w:rPr>
              <w:t>—demo only, not production.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Non-production scope (§2); not exposed to public internet in grading scenario.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R-C2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Forecasts misused</w:t>
            </w:r>
            <w:r>
              <w:rPr>
                <w:rFonts w:ascii="Times New Roman" w:hAnsi="Times New Roman"/>
              </w:rPr>
              <w:t xml:space="preserve"> as dispatch or commercial advice.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Prototype disclaimer; educational use only.</w:t>
            </w:r>
          </w:p>
        </w:tc>
      </w:tr>
    </w:tbl>
    <w:p/>
    <w:p>
      <w:r>
        <w:rPr>
          <w:i/>
        </w:rPr>
        <w:t>Resource and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Risk description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Mitigation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R-R1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  <w:b/>
              </w:rPr>
              <w:t>Knowledge concentration</w:t>
            </w:r>
            <w:r>
              <w:rPr>
                <w:rFonts w:ascii="Times New Roman" w:hAnsi="Times New Roman"/>
              </w:rPr>
              <w:t xml:space="preserve"> on Modal/training.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</w:rPr>
              <w:t>README, `explain.md`, shared walkthrough.</w:t>
            </w:r>
          </w:p>
        </w:tc>
      </w:tr>
    </w:tbl>
    <w:p/>
    <w:p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Summary: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15</w:t>
      </w:r>
      <w:r>
        <w:rPr>
          <w:rFonts w:ascii="Times New Roman" w:hAnsi="Times New Roman"/>
        </w:rPr>
        <w:t xml:space="preserve"> risks across </w:t>
      </w:r>
      <w:r>
        <w:rPr>
          <w:rFonts w:ascii="Times New Roman" w:hAnsi="Times New Roman"/>
          <w:b/>
        </w:rPr>
        <w:t>five</w:t>
      </w:r>
      <w:r>
        <w:rPr>
          <w:rFonts w:ascii="Times New Roman" w:hAnsi="Times New Roman"/>
        </w:rPr>
        <w:t xml:space="preserve"> categories (meets “at least 10 risks as per category” as a categorized register).</w:t>
      </w:r>
    </w:p>
    <w:p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Document status:</w:t>
      </w:r>
      <w:r>
        <w:rPr>
          <w:rFonts w:ascii="Times New Roman" w:hAnsi="Times New Roman"/>
        </w:rPr>
        <w:t xml:space="preserve"> Project report aligned to instructor checklist (Spring 2026).</w:t>
      </w:r>
    </w:p>
    <w:p>
      <w:r>
        <w:rPr>
          <w:rFonts w:ascii="Times New Roman" w:hAnsi="Times New Roman"/>
          <w:i/>
        </w:rPr>
        <w:t>End of Project Report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