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ED4DD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ED4DD7">
              <w:rPr>
                <w:rFonts w:ascii="Times New Roman" w:hAnsi="Times New Roman" w:cs="Times New Roman"/>
                <w:b/>
                <w:sz w:val="20"/>
                <w:szCs w:val="20"/>
              </w:rPr>
              <w:t>403</w:t>
            </w:r>
          </w:p>
        </w:tc>
        <w:tc>
          <w:tcPr>
            <w:tcW w:w="4710" w:type="dxa"/>
            <w:vAlign w:val="center"/>
          </w:tcPr>
          <w:p w:rsidR="001B5DD5" w:rsidRPr="00836A90" w:rsidRDefault="00B829DD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Environmental Engineering</w:t>
            </w:r>
            <w:bookmarkStart w:id="0" w:name="_GoBack"/>
            <w:bookmarkEnd w:id="0"/>
          </w:p>
        </w:tc>
        <w:tc>
          <w:tcPr>
            <w:tcW w:w="1420" w:type="dxa"/>
            <w:vAlign w:val="center"/>
          </w:tcPr>
          <w:p w:rsidR="001B5DD5" w:rsidRPr="00836A90" w:rsidRDefault="001B5DD5" w:rsidP="001A16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3L + </w:t>
            </w:r>
            <w:r w:rsidR="001A16C9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909" w:type="dxa"/>
            <w:vAlign w:val="center"/>
          </w:tcPr>
          <w:p w:rsidR="001B5DD5" w:rsidRPr="00836A90" w:rsidRDefault="00B5016A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>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216849" w:rsidP="00B5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introduce different properties of </w:t>
            </w:r>
            <w:r w:rsidR="00B5016A">
              <w:rPr>
                <w:rFonts w:ascii="Times New Roman" w:hAnsi="Times New Roman" w:cs="Times New Roman"/>
                <w:sz w:val="20"/>
                <w:szCs w:val="20"/>
              </w:rPr>
              <w:t xml:space="preserve">waste water and </w:t>
            </w:r>
            <w:proofErr w:type="gramStart"/>
            <w:r w:rsidR="00B5016A">
              <w:rPr>
                <w:rFonts w:ascii="Times New Roman" w:hAnsi="Times New Roman" w:cs="Times New Roman"/>
                <w:sz w:val="20"/>
                <w:szCs w:val="20"/>
              </w:rPr>
              <w:t>it’s</w:t>
            </w:r>
            <w:proofErr w:type="gramEnd"/>
            <w:r w:rsidR="00B5016A">
              <w:rPr>
                <w:rFonts w:ascii="Times New Roman" w:hAnsi="Times New Roman" w:cs="Times New Roman"/>
                <w:sz w:val="20"/>
                <w:szCs w:val="20"/>
              </w:rPr>
              <w:t xml:space="preserve"> purification process before it can be safely disposed to dumping land or river.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1A16C9" w:rsidRPr="001A16C9" w:rsidRDefault="001A16C9" w:rsidP="001A16C9">
            <w:pPr>
              <w:widowControl w:val="0"/>
              <w:numPr>
                <w:ilvl w:val="0"/>
                <w:numId w:val="2"/>
              </w:numPr>
              <w:tabs>
                <w:tab w:val="left" w:pos="538"/>
              </w:tabs>
              <w:autoSpaceDE w:val="0"/>
              <w:autoSpaceDN w:val="0"/>
              <w:spacing w:before="4" w:line="276" w:lineRule="auto"/>
              <w:ind w:right="317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Define</w:t>
            </w:r>
            <w:r w:rsidRPr="001A16C9">
              <w:rPr>
                <w:rFonts w:ascii="Times New Roman" w:eastAsia="Cambria" w:hAnsi="Times New Roman" w:cs="Times New Roman"/>
                <w:spacing w:val="13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the</w:t>
            </w:r>
            <w:r w:rsidRPr="001A16C9">
              <w:rPr>
                <w:rFonts w:ascii="Times New Roman" w:eastAsia="Cambria" w:hAnsi="Times New Roman" w:cs="Times New Roman"/>
                <w:spacing w:val="11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basic</w:t>
            </w:r>
            <w:r w:rsidRPr="001A16C9">
              <w:rPr>
                <w:rFonts w:ascii="Times New Roman" w:eastAsia="Cambria" w:hAnsi="Times New Roman" w:cs="Times New Roman"/>
                <w:spacing w:val="9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concepts</w:t>
            </w:r>
            <w:r w:rsidRPr="001A16C9">
              <w:rPr>
                <w:rFonts w:ascii="Times New Roman" w:eastAsia="Cambria" w:hAnsi="Times New Roman" w:cs="Times New Roman"/>
                <w:spacing w:val="8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and</w:t>
            </w:r>
            <w:r w:rsidRPr="001A16C9">
              <w:rPr>
                <w:rFonts w:ascii="Times New Roman" w:eastAsia="Cambria" w:hAnsi="Times New Roman" w:cs="Times New Roman"/>
                <w:spacing w:val="5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terminologies</w:t>
            </w:r>
            <w:r w:rsidRPr="001A16C9">
              <w:rPr>
                <w:rFonts w:ascii="Times New Roman" w:eastAsia="Cambria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of</w:t>
            </w:r>
            <w:r w:rsidRPr="001A16C9">
              <w:rPr>
                <w:rFonts w:ascii="Times New Roman" w:eastAsia="Cambria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waste</w:t>
            </w:r>
            <w:r w:rsidRPr="001A16C9">
              <w:rPr>
                <w:rFonts w:ascii="Times New Roman" w:eastAsia="Cambria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water</w:t>
            </w:r>
            <w:r w:rsidRPr="001A16C9">
              <w:rPr>
                <w:rFonts w:ascii="Times New Roman" w:eastAsia="Cambria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engineering</w:t>
            </w:r>
            <w:r w:rsidRPr="001A16C9">
              <w:rPr>
                <w:rFonts w:ascii="Times New Roman" w:eastAsia="Cambria" w:hAnsi="Times New Roman" w:cs="Times New Roman"/>
                <w:spacing w:val="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and</w:t>
            </w:r>
            <w:r w:rsidRPr="001A16C9">
              <w:rPr>
                <w:rFonts w:ascii="Times New Roman" w:eastAsia="Cambria" w:hAnsi="Times New Roman" w:cs="Times New Roman"/>
                <w:spacing w:val="5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hazardous</w:t>
            </w:r>
            <w:r w:rsidRPr="001A16C9">
              <w:rPr>
                <w:rFonts w:ascii="Times New Roman" w:eastAsia="Cambria" w:hAnsi="Times New Roman" w:cs="Times New Roman"/>
                <w:spacing w:val="8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waste</w:t>
            </w:r>
            <w:r w:rsidRPr="001A16C9">
              <w:rPr>
                <w:rFonts w:ascii="Times New Roman" w:eastAsia="Cambria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management.</w:t>
            </w:r>
          </w:p>
          <w:p w:rsidR="001A16C9" w:rsidRPr="001A16C9" w:rsidRDefault="001A16C9" w:rsidP="001A16C9">
            <w:pPr>
              <w:widowControl w:val="0"/>
              <w:numPr>
                <w:ilvl w:val="0"/>
                <w:numId w:val="2"/>
              </w:numPr>
              <w:tabs>
                <w:tab w:val="left" w:pos="538"/>
              </w:tabs>
              <w:autoSpaceDE w:val="0"/>
              <w:autoSpaceDN w:val="0"/>
              <w:spacing w:before="2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Describe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different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home</w:t>
            </w:r>
            <w:r w:rsidRPr="001A16C9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plumbing</w:t>
            </w:r>
            <w:r w:rsidRPr="001A16C9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systems</w:t>
            </w:r>
            <w:r w:rsidRPr="001A16C9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for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water</w:t>
            </w:r>
            <w:r w:rsidRPr="001A16C9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supply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and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wastewater</w:t>
            </w:r>
            <w:r w:rsidRPr="001A16C9">
              <w:rPr>
                <w:rFonts w:ascii="Times New Roman" w:eastAsia="Cambria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disposal.</w:t>
            </w:r>
          </w:p>
          <w:p w:rsidR="001A16C9" w:rsidRPr="001A16C9" w:rsidRDefault="001A16C9" w:rsidP="001A16C9">
            <w:pPr>
              <w:widowControl w:val="0"/>
              <w:numPr>
                <w:ilvl w:val="0"/>
                <w:numId w:val="2"/>
              </w:numPr>
              <w:tabs>
                <w:tab w:val="left" w:pos="538"/>
              </w:tabs>
              <w:autoSpaceDE w:val="0"/>
              <w:autoSpaceDN w:val="0"/>
              <w:spacing w:before="6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Apply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the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methods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of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quantifying</w:t>
            </w:r>
            <w:r w:rsidRPr="001A16C9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sanitary</w:t>
            </w:r>
            <w:r w:rsidRPr="001A16C9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sewage</w:t>
            </w:r>
            <w:r w:rsidRPr="001A16C9">
              <w:rPr>
                <w:rFonts w:ascii="Times New Roman" w:eastAsia="Cambria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and</w:t>
            </w:r>
            <w:r w:rsidRPr="001A16C9">
              <w:rPr>
                <w:rFonts w:ascii="Times New Roman" w:eastAsia="Cambria" w:hAnsi="Times New Roman" w:cs="Times New Roman"/>
                <w:spacing w:val="-9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storm</w:t>
            </w:r>
            <w:r w:rsidRPr="001A16C9">
              <w:rPr>
                <w:rFonts w:ascii="Times New Roman" w:eastAsia="Cambria" w:hAnsi="Times New Roman" w:cs="Times New Roman"/>
                <w:spacing w:val="-5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sewage.</w:t>
            </w:r>
          </w:p>
          <w:p w:rsidR="001A16C9" w:rsidRPr="001A16C9" w:rsidRDefault="001A16C9" w:rsidP="001A16C9">
            <w:pPr>
              <w:widowControl w:val="0"/>
              <w:numPr>
                <w:ilvl w:val="0"/>
                <w:numId w:val="2"/>
              </w:numPr>
              <w:tabs>
                <w:tab w:val="left" w:pos="538"/>
              </w:tabs>
              <w:autoSpaceDE w:val="0"/>
              <w:autoSpaceDN w:val="0"/>
              <w:spacing w:before="5" w:line="276" w:lineRule="auto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Solve</w:t>
            </w:r>
            <w:r w:rsidRPr="001A16C9">
              <w:rPr>
                <w:rFonts w:ascii="Times New Roman" w:eastAsia="Cambria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different</w:t>
            </w:r>
            <w:r w:rsidRPr="001A16C9">
              <w:rPr>
                <w:rFonts w:ascii="Times New Roman" w:eastAsia="Cambria" w:hAnsi="Times New Roman" w:cs="Times New Roman"/>
                <w:spacing w:val="11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mathematical</w:t>
            </w:r>
            <w:r w:rsidRPr="001A16C9">
              <w:rPr>
                <w:rFonts w:ascii="Times New Roman" w:eastAsia="Cambria" w:hAnsi="Times New Roman" w:cs="Times New Roman"/>
                <w:spacing w:val="1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problems</w:t>
            </w:r>
            <w:r w:rsidRPr="001A16C9">
              <w:rPr>
                <w:rFonts w:ascii="Times New Roman" w:eastAsia="Cambria" w:hAnsi="Times New Roman" w:cs="Times New Roman"/>
                <w:spacing w:val="13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regarding</w:t>
            </w:r>
            <w:r w:rsidRPr="001A16C9">
              <w:rPr>
                <w:rFonts w:ascii="Times New Roman" w:eastAsia="Cambria" w:hAnsi="Times New Roman" w:cs="Times New Roman"/>
                <w:spacing w:val="17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different</w:t>
            </w:r>
            <w:r w:rsidRPr="001A16C9">
              <w:rPr>
                <w:rFonts w:ascii="Times New Roman" w:eastAsia="Cambria" w:hAnsi="Times New Roman" w:cs="Times New Roman"/>
                <w:spacing w:val="1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components</w:t>
            </w:r>
            <w:r w:rsidRPr="001A16C9">
              <w:rPr>
                <w:rFonts w:ascii="Times New Roman" w:eastAsia="Cambria" w:hAnsi="Times New Roman" w:cs="Times New Roman"/>
                <w:spacing w:val="10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of</w:t>
            </w:r>
            <w:r w:rsidRPr="001A16C9">
              <w:rPr>
                <w:rFonts w:ascii="Times New Roman" w:eastAsia="Cambria" w:hAnsi="Times New Roman" w:cs="Times New Roman"/>
                <w:spacing w:val="16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sewerage</w:t>
            </w:r>
            <w:r w:rsidRPr="001A16C9">
              <w:rPr>
                <w:rFonts w:ascii="Times New Roman" w:eastAsia="Cambria" w:hAnsi="Times New Roman" w:cs="Times New Roman"/>
                <w:spacing w:val="18"/>
                <w:w w:val="105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system.</w:t>
            </w:r>
          </w:p>
          <w:p w:rsidR="001A16C9" w:rsidRPr="001A16C9" w:rsidRDefault="001A16C9" w:rsidP="001A16C9">
            <w:pPr>
              <w:widowControl w:val="0"/>
              <w:numPr>
                <w:ilvl w:val="0"/>
                <w:numId w:val="2"/>
              </w:numPr>
              <w:tabs>
                <w:tab w:val="left" w:pos="538"/>
              </w:tabs>
              <w:autoSpaceDE w:val="0"/>
              <w:autoSpaceDN w:val="0"/>
              <w:spacing w:before="4" w:line="276" w:lineRule="auto"/>
              <w:ind w:right="756"/>
              <w:jc w:val="both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Compare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between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different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spacing w:val="-1"/>
                <w:w w:val="110"/>
                <w:sz w:val="24"/>
                <w:szCs w:val="24"/>
              </w:rPr>
              <w:t>wastewater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samples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based</w:t>
            </w:r>
            <w:r w:rsidRPr="001A16C9">
              <w:rPr>
                <w:rFonts w:ascii="Times New Roman" w:eastAsia="Cambria" w:hAnsi="Times New Roman" w:cs="Times New Roman"/>
                <w:spacing w:val="-9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on</w:t>
            </w:r>
            <w:r w:rsidRPr="001A16C9">
              <w:rPr>
                <w:rFonts w:ascii="Times New Roman" w:eastAsia="Cambria" w:hAnsi="Times New Roman" w:cs="Times New Roman"/>
                <w:spacing w:val="-7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their</w:t>
            </w:r>
            <w:r w:rsidRPr="001A16C9">
              <w:rPr>
                <w:rFonts w:ascii="Times New Roman" w:eastAsia="Cambria" w:hAnsi="Times New Roman" w:cs="Times New Roman"/>
                <w:spacing w:val="-8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physical,</w:t>
            </w:r>
            <w:r w:rsidRPr="001A16C9">
              <w:rPr>
                <w:rFonts w:ascii="Times New Roman" w:eastAsia="Cambria" w:hAnsi="Times New Roman" w:cs="Times New Roman"/>
                <w:spacing w:val="-9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chemical</w:t>
            </w:r>
            <w:r w:rsidRPr="001A16C9">
              <w:rPr>
                <w:rFonts w:ascii="Times New Roman" w:eastAsia="Cambria" w:hAnsi="Times New Roman" w:cs="Times New Roman"/>
                <w:spacing w:val="-9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and</w:t>
            </w:r>
            <w:r w:rsidRPr="001A16C9">
              <w:rPr>
                <w:rFonts w:ascii="Times New Roman" w:eastAsia="Cambria" w:hAnsi="Times New Roman" w:cs="Times New Roman"/>
                <w:spacing w:val="-36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biological</w:t>
            </w:r>
            <w:r w:rsidRPr="001A16C9">
              <w:rPr>
                <w:rFonts w:ascii="Times New Roman" w:eastAsia="Cambria" w:hAnsi="Times New Roman" w:cs="Times New Roman"/>
                <w:spacing w:val="3"/>
                <w:w w:val="110"/>
                <w:sz w:val="24"/>
                <w:szCs w:val="24"/>
              </w:rPr>
              <w:t xml:space="preserve"> </w:t>
            </w:r>
            <w:r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characteristics.</w:t>
            </w:r>
          </w:p>
          <w:p w:rsidR="001B5DD5" w:rsidRPr="00836A90" w:rsidRDefault="001B5DD5" w:rsidP="001A16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216849" w:rsidP="002168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216849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B5016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 Q3,Q4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  <w:r w:rsidR="00B5016A">
              <w:rPr>
                <w:rFonts w:ascii="Times New Roman" w:hAnsi="Times New Roman" w:cs="Times New Roman"/>
              </w:rPr>
              <w:t>,Q4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1B5DD5" w:rsidP="007D2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B5016A"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906" w:type="dxa"/>
            <w:vAlign w:val="center"/>
          </w:tcPr>
          <w:p w:rsidR="001B5DD5" w:rsidRDefault="005B3C7F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5B3C7F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B5016A" w:rsidP="00BF08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</w:t>
            </w:r>
            <w:r w:rsidR="00BF0801"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731" w:type="dxa"/>
            <w:vAlign w:val="center"/>
          </w:tcPr>
          <w:p w:rsidR="001B5DD5" w:rsidRDefault="00F848D1" w:rsidP="00F84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 </w:t>
            </w:r>
            <w:r w:rsidR="001B5DD5">
              <w:rPr>
                <w:rFonts w:ascii="Times New Roman" w:hAnsi="Times New Roman" w:cs="Times New Roman"/>
              </w:rPr>
              <w:t>,Q6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70A19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70A19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 xml:space="preserve">Y (Level: </w:t>
            </w:r>
            <w:r w:rsidR="00E70A19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E33A05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533284">
              <w:rPr>
                <w:rFonts w:ascii="Times New Roman" w:hAnsi="Times New Roman" w:cs="Times New Roman"/>
              </w:rPr>
              <w:t>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E33A05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2F68D9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533284">
              <w:rPr>
                <w:rFonts w:ascii="Times New Roman" w:hAnsi="Times New Roman" w:cs="Times New Roman"/>
              </w:rPr>
              <w:t>7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2F68D9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533284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533284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53328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E33A05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Average CO attainment for the course through CIE </w:t>
            </w:r>
            <w:r w:rsidR="005B3C7F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533284">
              <w:rPr>
                <w:rFonts w:ascii="Times New Roman" w:hAnsi="Times New Roman" w:cs="Times New Roman"/>
                <w:b/>
                <w:bCs/>
                <w:lang w:val="en-IN"/>
              </w:rPr>
              <w:t>701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53328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82.4%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 xml:space="preserve">Level: </w:t>
            </w:r>
            <w:r w:rsidR="00533284">
              <w:rPr>
                <w:rFonts w:ascii="Times New Roman" w:hAnsi="Times New Roman" w:cs="Times New Roman"/>
                <w:lang w:val="en-IN"/>
              </w:rPr>
              <w:t>3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674F5B">
        <w:rPr>
          <w:rFonts w:ascii="Times New Roman" w:hAnsi="Times New Roman" w:cs="Times New Roman"/>
          <w:b/>
          <w:sz w:val="28"/>
        </w:rPr>
        <w:t>CE701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+(60%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798" w:type="dxa"/>
        <w:jc w:val="center"/>
        <w:tblLook w:val="04A0" w:firstRow="1" w:lastRow="0" w:firstColumn="1" w:lastColumn="0" w:noHBand="0" w:noVBand="1"/>
      </w:tblPr>
      <w:tblGrid>
        <w:gridCol w:w="978"/>
        <w:gridCol w:w="55"/>
        <w:gridCol w:w="852"/>
        <w:gridCol w:w="907"/>
        <w:gridCol w:w="907"/>
        <w:gridCol w:w="907"/>
        <w:gridCol w:w="907"/>
        <w:gridCol w:w="1038"/>
        <w:gridCol w:w="955"/>
        <w:gridCol w:w="1292"/>
      </w:tblGrid>
      <w:tr w:rsidR="00674F5B" w:rsidTr="00674F5B">
        <w:trPr>
          <w:gridAfter w:val="8"/>
          <w:wAfter w:w="7765" w:type="dxa"/>
          <w:trHeight w:val="458"/>
          <w:jc w:val="center"/>
        </w:trPr>
        <w:tc>
          <w:tcPr>
            <w:tcW w:w="1033" w:type="dxa"/>
            <w:gridSpan w:val="2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4F5B" w:rsidTr="00674F5B">
        <w:trPr>
          <w:trHeight w:val="962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907" w:type="dxa"/>
            <w:gridSpan w:val="2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38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955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674F5B" w:rsidTr="00674F5B">
        <w:trPr>
          <w:trHeight w:val="897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907" w:type="dxa"/>
            <w:gridSpan w:val="2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8" w:type="dxa"/>
            <w:vAlign w:val="center"/>
          </w:tcPr>
          <w:p w:rsidR="00674F5B" w:rsidRDefault="00674F5B" w:rsidP="00674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955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2.84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32"/>
        <w:gridCol w:w="762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F27DDF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3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76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F97901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5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2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F97901" w:rsidRDefault="0046579A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27DDF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Default="00963577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A2E18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5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6" w:type="dxa"/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97" w:type="dxa"/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9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  <w:vAlign w:val="center"/>
          </w:tcPr>
          <w:p w:rsidR="00F97901" w:rsidRDefault="00F27DDF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F97901" w:rsidRDefault="00674F5B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F27DDF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017B94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4B3D4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017B94">
              <w:rPr>
                <w:rFonts w:ascii="Times New Roman" w:hAnsi="Times New Roman" w:cs="Times New Roman"/>
                <w:b/>
              </w:rPr>
              <w:t>.</w:t>
            </w:r>
            <w:r w:rsidR="004B3D4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017B94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4B3D45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2227F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2227F8" w:rsidP="004B3D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4B3D4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2227F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2227F8">
        <w:rPr>
          <w:rFonts w:ascii="Times New Roman" w:hAnsi="Times New Roman" w:cs="Times New Roman"/>
          <w:sz w:val="32"/>
        </w:rPr>
        <w:t>= 2.8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B3D45">
        <w:rPr>
          <w:rFonts w:ascii="Times New Roman" w:hAnsi="Times New Roman" w:cs="Times New Roman"/>
          <w:sz w:val="32"/>
        </w:rPr>
        <w:t>2.84</w:t>
      </w:r>
    </w:p>
    <w:p w:rsidR="005A2E18" w:rsidRPr="008B52A5" w:rsidRDefault="001F1252" w:rsidP="005A2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Therefore, contribution to PO1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attainment is </w:t>
      </w:r>
      <w:r w:rsidR="004B3D45">
        <w:rPr>
          <w:rFonts w:ascii="Times New Roman" w:hAnsi="Times New Roman" w:cs="Times New Roman"/>
          <w:b/>
          <w:sz w:val="32"/>
        </w:rPr>
        <w:t>2.84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4B3D45">
        <w:rPr>
          <w:rFonts w:ascii="Times New Roman" w:hAnsi="Times New Roman" w:cs="Times New Roman"/>
          <w:b/>
          <w:sz w:val="32"/>
        </w:rPr>
        <w:t>8</w:t>
      </w:r>
      <w:r w:rsidR="005A2E18" w:rsidRPr="008B52A5">
        <w:rPr>
          <w:rFonts w:ascii="Times New Roman" w:hAnsi="Times New Roman" w:cs="Times New Roman"/>
          <w:b/>
          <w:sz w:val="32"/>
        </w:rPr>
        <w:t>/3) =</w:t>
      </w:r>
      <w:r>
        <w:rPr>
          <w:rFonts w:ascii="Times New Roman" w:hAnsi="Times New Roman" w:cs="Times New Roman"/>
          <w:b/>
          <w:sz w:val="32"/>
        </w:rPr>
        <w:t>2</w:t>
      </w:r>
      <w:r w:rsidR="005A2E18" w:rsidRPr="008B52A5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</w:rPr>
        <w:t>65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5A2E18" w:rsidRPr="008B52A5">
        <w:rPr>
          <w:rFonts w:ascii="Times New Roman" w:hAnsi="Times New Roman" w:cs="Times New Roman"/>
          <w:b/>
          <w:sz w:val="32"/>
        </w:rPr>
        <w:t>Others</w:t>
      </w:r>
      <w:proofErr w:type="gramEnd"/>
      <w:r w:rsidR="005A2E18" w:rsidRPr="008B52A5">
        <w:rPr>
          <w:rFonts w:ascii="Times New Roman" w:hAnsi="Times New Roman" w:cs="Times New Roman"/>
          <w:b/>
          <w:sz w:val="32"/>
        </w:rPr>
        <w:t xml:space="preserve">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F1252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2.65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2.46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2.08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2.08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1.54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F1252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F1252">
              <w:rPr>
                <w:rFonts w:ascii="Times New Roman" w:hAnsi="Times New Roman" w:cs="Times New Roman"/>
                <w:b/>
                <w:bCs/>
              </w:rPr>
              <w:t>1.54</w:t>
            </w: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252" w:rsidRPr="00C91C7E" w:rsidRDefault="001F1252" w:rsidP="001F125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1.89</w:t>
            </w:r>
          </w:p>
          <w:p w:rsidR="005A2E18" w:rsidRPr="00C91C7E" w:rsidRDefault="001F1252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2.27</w:t>
            </w:r>
          </w:p>
          <w:p w:rsidR="005A2E18" w:rsidRPr="00C91C7E" w:rsidRDefault="005A2E18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B47713">
        <w:rPr>
          <w:rFonts w:ascii="Times New Roman" w:hAnsi="Times New Roman" w:cs="Times New Roman"/>
          <w:sz w:val="32"/>
        </w:rPr>
        <w:t>= 2.6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B47713">
        <w:rPr>
          <w:rFonts w:ascii="Times New Roman" w:hAnsi="Times New Roman" w:cs="Times New Roman"/>
          <w:sz w:val="32"/>
        </w:rPr>
        <w:t>2.84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</w:t>
      </w:r>
      <w:r w:rsidR="00B47713">
        <w:rPr>
          <w:rFonts w:ascii="Times New Roman" w:hAnsi="Times New Roman" w:cs="Times New Roman"/>
          <w:b/>
          <w:sz w:val="32"/>
        </w:rPr>
        <w:t>S</w:t>
      </w:r>
      <w:r w:rsidRPr="008B52A5">
        <w:rPr>
          <w:rFonts w:ascii="Times New Roman" w:hAnsi="Times New Roman" w:cs="Times New Roman"/>
          <w:b/>
          <w:sz w:val="32"/>
        </w:rPr>
        <w:t>O3 attainment is 0.8 × (2.4/3) =</w:t>
      </w:r>
      <w:r>
        <w:rPr>
          <w:rFonts w:ascii="Times New Roman" w:hAnsi="Times New Roman" w:cs="Times New Roman"/>
          <w:b/>
          <w:sz w:val="32"/>
        </w:rPr>
        <w:t>0.64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Default="00B47713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3" w:type="dxa"/>
            <w:vAlign w:val="center"/>
          </w:tcPr>
          <w:p w:rsidR="008B52A5" w:rsidRDefault="00B47713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2.65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8" w:type="dxa"/>
            <w:vAlign w:val="center"/>
          </w:tcPr>
          <w:p w:rsidR="00C54924" w:rsidRDefault="00B47713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2.84</w:t>
            </w:r>
          </w:p>
          <w:p w:rsidR="008B52A5" w:rsidRPr="008B52A5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B7C1B"/>
    <w:multiLevelType w:val="hybridMultilevel"/>
    <w:tmpl w:val="E5929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D5"/>
    <w:rsid w:val="00017B94"/>
    <w:rsid w:val="001A16C9"/>
    <w:rsid w:val="001B5DD5"/>
    <w:rsid w:val="001F1252"/>
    <w:rsid w:val="00216849"/>
    <w:rsid w:val="002227F8"/>
    <w:rsid w:val="002F68D9"/>
    <w:rsid w:val="003C5561"/>
    <w:rsid w:val="0046579A"/>
    <w:rsid w:val="004B3D45"/>
    <w:rsid w:val="00533284"/>
    <w:rsid w:val="005A048C"/>
    <w:rsid w:val="005A2E18"/>
    <w:rsid w:val="005B3C7F"/>
    <w:rsid w:val="00674F5B"/>
    <w:rsid w:val="00682DCF"/>
    <w:rsid w:val="007D20EE"/>
    <w:rsid w:val="008B52A5"/>
    <w:rsid w:val="00963577"/>
    <w:rsid w:val="00B47713"/>
    <w:rsid w:val="00B5016A"/>
    <w:rsid w:val="00B829DD"/>
    <w:rsid w:val="00BF0801"/>
    <w:rsid w:val="00C54924"/>
    <w:rsid w:val="00C91C7E"/>
    <w:rsid w:val="00D942B3"/>
    <w:rsid w:val="00E33A05"/>
    <w:rsid w:val="00E70A19"/>
    <w:rsid w:val="00ED4DD7"/>
    <w:rsid w:val="00F27DDF"/>
    <w:rsid w:val="00F848D1"/>
    <w:rsid w:val="00F9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9</cp:revision>
  <dcterms:created xsi:type="dcterms:W3CDTF">2022-03-02T11:33:00Z</dcterms:created>
  <dcterms:modified xsi:type="dcterms:W3CDTF">2022-03-28T04:59:00Z</dcterms:modified>
</cp:coreProperties>
</file>