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8"/>
          <w:szCs w:val="48"/>
          <w:rtl w:val="0"/>
        </w:rPr>
        <w:t xml:space="preserve">Income Analysis of 5000 Individuals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Overview - About the Sample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data about 4857 individuals were selected for the analysis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Age, Education, Marital Status, Number of Kids, Work hours, and Earnings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of the data were identified as outliers scrapped off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rows with number of Kids above 15 were removed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rows with  Education level below 10 and above 30 were removed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Some basic Statistics about the Sample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Averages, Minimums and Maximums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605"/>
        <w:gridCol w:w="1740"/>
        <w:gridCol w:w="1680"/>
        <w:tblGridChange w:id="0">
          <w:tblGrid>
            <w:gridCol w:w="2895"/>
            <w:gridCol w:w="1605"/>
            <w:gridCol w:w="1740"/>
            <w:gridCol w:w="168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Minimum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Maximum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Education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16,200.00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240,000.00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Marital Status</w:t>
      </w:r>
    </w:p>
    <w:p w:rsidR="00000000" w:rsidDel="00000000" w:rsidP="00000000" w:rsidRDefault="00000000" w:rsidRPr="00000000" w14:paraId="00000023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133350</wp:posOffset>
            </wp:positionV>
            <wp:extent cx="4523780" cy="33194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029" l="15822" r="13713" t="2984"/>
                    <a:stretch>
                      <a:fillRect/>
                    </a:stretch>
                  </pic:blipFill>
                  <pic:spPr>
                    <a:xfrm>
                      <a:off x="0" y="0"/>
                      <a:ext cx="4523780" cy="331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Other Findings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Earnings depend on number of work hours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 hours impacts the earnings the most in a positive way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i.e . More the worked hours more the earlings.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 of the selected individuals, 816 people don’t work at all (and their earnings are also zero)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1447 people work less than 1000 hours and 387 people work for more than 2500 hours</w:t>
      </w:r>
    </w:p>
    <w:p w:rsidR="00000000" w:rsidDel="00000000" w:rsidP="00000000" w:rsidRDefault="00000000" w:rsidRPr="00000000" w14:paraId="00000031">
      <w:pPr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142875</wp:posOffset>
            </wp:positionV>
            <wp:extent cx="5943600" cy="255030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Educated people earn more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Education is the second biggest factor (next to the worked hours) to impact the earnings in a positive way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 of all the selected individuals, 1800 people are with Education level 12</w:t>
      </w:r>
    </w:p>
    <w:p w:rsidR="00000000" w:rsidDel="00000000" w:rsidP="00000000" w:rsidRDefault="00000000" w:rsidRPr="00000000" w14:paraId="00000035">
      <w:pPr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133350</wp:posOffset>
            </wp:positionV>
            <wp:extent cx="3671888" cy="220618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206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Married people earn more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Married people earn more than the others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Average earning of Married people is 16186.00 while the average earning of others is 14664.00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 of the selected individuals, 2668 (66%) people are married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