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left"/>
      </w:pPr>
      <w:r>
        <w:rPr>
          <w:rtl/>
        </w:rPr>
        <w:t xml:space="preserve">C.01.02 تسجيل الطلبات — إجراء العمل القياسي</w:t>
      </w:r>
    </w:p>
    <w:p>
      <w:pPr>
        <w:pStyle w:val="Heading1"/>
        <w:bidi/>
      </w:pPr>
      <w:r>
        <w:rPr>
          <w:rtl/>
        </w:rPr>
        <w:t xml:space="preserve">الغرض</w:t>
      </w:r>
    </w:p>
    <w:p>
      <w:pPr>
        <w:bidi/>
      </w:pPr>
      <w:r>
        <w:rPr>
          <w:rtl/>
        </w:rPr>
        <w:t xml:space="preserve">يصف هذا الإجراء كيفية استلام طلبات المتعاملين والتحقق من بياناتها وتسجيلها في النظام خلال يوم عمل واحد.</w:t>
      </w:r>
    </w:p>
    <w:p>
      <w:pPr>
        <w:pStyle w:val="Heading1"/>
        <w:bidi/>
      </w:pPr>
      <w:r>
        <w:rPr>
          <w:rtl/>
        </w:rPr>
        <w:t xml:space="preserve">الإجراء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استلام الطلب من المتعامل.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التحقق من اكتمال البيانات والمستندات.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تسجيل الطلب في النظام وإبلاغ المتعامل برقم الطلب.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bidi/>
            </w:pPr>
            <w:r>
              <w:rPr>
                <w:rtl/>
              </w:rPr>
              <w:t xml:space="preserve">الخطوة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الدور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المدة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الاستلام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موظف خدمة المتعاملين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ساعة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التسجيل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موظف خدمة المتعاملين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يوم</w:t>
            </w:r>
          </w:p>
        </w:tc>
      </w:tr>
    </w:tbl>
    <w:p>
      <w:pPr>
        <w:pStyle w:val="Heading1"/>
        <w:bidi/>
      </w:pPr>
      <w:r>
        <w:rPr>
          <w:rtl/>
        </w:rPr>
        <w:t xml:space="preserve">المخاطر والضوابط</w:t>
      </w:r>
    </w:p>
    <w:p>
      <w:pPr>
        <w:bidi/>
      </w:pPr>
      <w:r>
        <w:rPr>
          <w:rtl/>
        </w:rPr>
        <w:t xml:space="preserve">الخطر: تسجيل طلب ببيانات ناقصة. الضابط: مراجعة المشرف لعينة يومية من الطلبات المسجلة.</w:t>
      </w:r>
    </w:p>
    <w:p>
      <w:pPr>
        <w:bidi/>
      </w:pPr>
      <w:r>
        <w:drawing>
          <wp:inline distT="0" distB="0" distL="0" distR="0">
            <wp:extent cx="381000" cy="381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</w:pPr>
      <w:hyperlink w:history="1" r:id="rIdcb3kqkb6tq7mwpajlj-3i">
        <w:r>
          <w:rPr>
            <w:rStyle w:val="Hyperlink"/>
            <w:rtl/>
          </w:rPr>
          <w:t xml:space="preserve">سياسة خدمة المتعاملين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b3kqkb6tq7mwpajlj-3i" Type="http://schemas.openxmlformats.org/officeDocument/2006/relationships/hyperlink" Target="https://example.org/policies" TargetMode="External"/><Relationship Id="rId8" Type="http://schemas.openxmlformats.org/officeDocument/2006/relationships/image" Target="media/26022ed956b20afd92bd73e88186eb0c80bb55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C.01.02 تسجيل الطلبات — إجراء العمل القياسي</dc:title>
  <dc:creator>ProcessHub samples</dc:creator>
  <cp:lastModifiedBy>Un-named</cp:lastModifiedBy>
  <cp:revision>1</cp:revision>
  <dcterms:created xsi:type="dcterms:W3CDTF">2026-10-31T14:30:39.257Z</dcterms:created>
  <dcterms:modified xsi:type="dcterms:W3CDTF">2026-10-31T14:30:39.257Z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