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Data Dictionary</w:t>
      </w:r>
    </w:p>
    <w:p>
      <w:pPr>
        <w:spacing w:after="400"/>
      </w:pPr>
      <w:r>
        <w:rPr>
          <w:i/>
          <w:iCs/>
          <w:color w:val="555555"/>
          <w:sz w:val="26"/>
          <w:szCs w:val="26"/>
        </w:rPr>
        <w:t xml:space="preserve">Healthcare &amp; Biotech Patient Outcomes Dataset</w:t>
      </w:r>
    </w:p>
    <w:p>
      <w:pPr>
        <w:spacing w:after="60"/>
      </w:pPr>
      <w:r>
        <w:rPr>
          <w:b/>
          <w:bCs/>
        </w:rPr>
        <w:t xml:space="preserve">File: </w:t>
      </w:r>
      <w:r>
        <w:t xml:space="preserve">healthcare_biotech_patient_dataset.csv</w:t>
      </w:r>
    </w:p>
    <w:p>
      <w:pPr>
        <w:spacing w:after="60"/>
      </w:pPr>
      <w:r>
        <w:rPr>
          <w:b/>
          <w:bCs/>
        </w:rPr>
        <w:t xml:space="preserve">Records: </w:t>
      </w:r>
      <w:r>
        <w:t xml:space="preserve">403,650 (includes intentional exact and near-duplicates)</w:t>
      </w:r>
    </w:p>
    <w:p>
      <w:pPr>
        <w:spacing w:after="60"/>
      </w:pPr>
      <w:r>
        <w:rPr>
          <w:b/>
          <w:bCs/>
        </w:rPr>
        <w:t xml:space="preserve">Columns: </w:t>
      </w:r>
      <w:r>
        <w:t xml:space="preserve">43</w:t>
      </w:r>
    </w:p>
    <w:p>
      <w:pPr>
        <w:spacing w:after="60"/>
      </w:pPr>
      <w:r>
        <w:rPr>
          <w:b/>
          <w:bCs/>
        </w:rPr>
        <w:t xml:space="preserve">Format: </w:t>
      </w:r>
      <w:r>
        <w:t xml:space="preserve">CSV, comma-delimited, UTF-8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40"/>
      </w:pPr>
      <w:r>
        <w:t xml:space="preserve">Synthetic patient-level dataset combining demographics, clinical vitals, biotech lab/biomarker panels, and hospital utilization data. Built to support a complete ML lifecycle: loading, cleaning, EDA, feature engineering, feature selection, and modeling.</w:t>
      </w:r>
    </w:p>
    <w:p>
      <w:pPr>
        <w:spacing w:after="140"/>
      </w:pPr>
      <w:r>
        <w:t xml:space="preserve">Two target variables are included, generated from realistic underlying drivers plus random noise so relationships are learnable but not perfectly deterministic, similar to real-world data: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Linear Regression target: total_healthcare_cost (continuous, USD)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Logistic Regression target: readmitted_30days (binary, 0/1)</w:t>
      </w:r>
    </w:p>
    <w:p>
      <w:pPr>
        <w:pStyle w:val="Heading1"/>
        <w:spacing w:after="150" w:before="300"/>
      </w:pPr>
      <w:r>
        <w:t xml:space="preserve">Known Data Quality Issues (intentional — for cleaning practice)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Missing values: rates vary by column, roughly 1%–30% (heaviest on specialty biomarkers biomarker_a/biomarker_b, vitamin_d_level, hba1c, lipid panel, and income_bracket). Not applied to targets or IDs.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Duplicates: ~2.5% exact duplicate rows, plus ~1% near-duplicate rows (same record, heart_rate jittered — simulates re-entry errors).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Outliers / invalid values: implausible entries in age, bmi, heart_rate, length_of_stay_days, and total_healthcare_cost.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Inconsistent text formatting: gender, insurance_type, ethnicity, department, smoking_status contain mixed casing, whitespace, and label variants.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Logical date errors: a small subset of rows have discharge_date earlier than admission_date.</w:t>
      </w:r>
    </w:p>
    <w:p>
      <w:pPr>
        <w:pStyle w:val="Heading1"/>
        <w:spacing w:after="150" w:before="300"/>
      </w:pPr>
      <w:r>
        <w:t xml:space="preserve">Column Reference</w:t>
      </w:r>
    </w:p>
    <w:p>
      <w:pPr>
        <w:pStyle w:val="Heading2"/>
        <w:spacing w:after="100" w:before="220"/>
      </w:pPr>
      <w:r>
        <w:t xml:space="preserve">Identifiers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500"/>
      </w:tblGrid>
      <w:tr>
        <w:tc>
          <w:tcPr>
            <w:tcW w:type="dxa" w:w="2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patient/record identifier (not unique after duplication step — good for practicing drop_duplicates)</w:t>
            </w:r>
          </w:p>
        </w:tc>
      </w:tr>
    </w:tbl>
    <w:p>
      <w:pPr>
        <w:pStyle w:val="Heading2"/>
        <w:spacing w:after="100" w:before="220"/>
      </w:pPr>
      <w:r>
        <w:t xml:space="preserve">Demographics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500"/>
      </w:tblGrid>
      <w:tr>
        <w:tc>
          <w:tcPr>
            <w:tcW w:type="dxa" w:w="2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patient/record identifier (not unique after duplication step — good for practicing drop_duplicates)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in years (contains outliers/invalid entries)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(inconsistent casing/labels)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ethnicity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Self-reported ethnicity category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Census region: Northeast, Midwest, South, West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insurance_type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Private, Medicare, Medicaid, Uninsured, VA/Military (inconsistent labels)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income_bracket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Household income bracket, categorical bins</w:t>
            </w:r>
          </w:p>
        </w:tc>
      </w:tr>
    </w:tbl>
    <w:p>
      <w:pPr>
        <w:pStyle w:val="Heading2"/>
        <w:spacing w:after="100" w:before="220"/>
      </w:pPr>
      <w:r>
        <w:t xml:space="preserve">Clinical Vitals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500"/>
      </w:tblGrid>
      <w:tr>
        <w:tc>
          <w:tcPr>
            <w:tcW w:type="dxa" w:w="2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height_cm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Height in centimeters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weight_kg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 in kilograms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Mass Index (contains implausible outliers)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systolic_bp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Systolic blood pressure (mmHg)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diastolic_bp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Diastolic blood pressure (mmHg)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heart_rate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Resting heart rate, bpm (contains 0 / negative / extreme outliers)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cholesterol_total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cholesterol (mg/dL)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ldl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LDL “bad” cholesterol (mg/dL)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hdl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HDL “good” cholesterol (mg/dL)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glucose_fasting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Fasting blood glucose (mg/dL)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hba1c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Glycated hemoglobin (%), diabetes marker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smoking_status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/ Former / Current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alcohol_consumption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Light / Moderate / Heavy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physical_activity_level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Active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family_history_diabetes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(0/1)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 history of diabetes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family_history_heart_disease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(0/1)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 history of heart disease</w:t>
            </w:r>
          </w:p>
        </w:tc>
      </w:tr>
    </w:tbl>
    <w:p>
      <w:pPr>
        <w:pStyle w:val="Heading2"/>
        <w:spacing w:after="100" w:before="220"/>
      </w:pPr>
      <w:r>
        <w:t xml:space="preserve">Biotech / Laboratory Biomarkers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500"/>
      </w:tblGrid>
      <w:tr>
        <w:tc>
          <w:tcPr>
            <w:tcW w:type="dxa" w:w="2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white_blood_cell_count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WBC count (x10⁹/L)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red_blood_cell_count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RBC count (x10¹²/L)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platelet_count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Platelet count (x10⁹/L)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crp_level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C-reactive protein (mg/L) — inflammation marker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vitamin_d_level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Serum vitamin D (ng/mL)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gene_marker_score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Synthetic proprietary genomic/proteomic risk panel score (0–100)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biomarker_a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Specialty protein biomarker (ng/mL), sparsely ordered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biomarker_b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Specialty biomarker, arbitrary units, sparsely ordered</w:t>
            </w:r>
          </w:p>
        </w:tc>
      </w:tr>
    </w:tbl>
    <w:p>
      <w:pPr>
        <w:pStyle w:val="Heading2"/>
        <w:spacing w:after="100" w:before="220"/>
      </w:pPr>
      <w:r>
        <w:t xml:space="preserve">Hospital / Visit Data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500"/>
      </w:tblGrid>
      <w:tr>
        <w:tc>
          <w:tcPr>
            <w:tcW w:type="dxa" w:w="2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num_chronic_conditions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 of diagnosed chronic conditions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num_prior_hospital_visits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 hospital visits (lifetime)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medication_count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active medications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admission_type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 / Elective / Urgent / Newborn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Treating hospital department (inconsistent casing)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treatment_type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/ Surgery / Therapy / Observation / Combination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had_surgery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(0/1)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Whether patient underwent surgery this visit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length_of_stay_days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between admission and discharge (contains outliers)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admission_date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Admission date (YYYY-MM-DD)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discharge_date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Discharge date (YYYY-MM-DD; some rows precede admission_date — data error)</w:t>
            </w:r>
          </w:p>
        </w:tc>
      </w:tr>
    </w:tbl>
    <w:p>
      <w:pPr>
        <w:pStyle w:val="Heading2"/>
        <w:spacing w:after="100" w:before="220"/>
      </w:pPr>
      <w:r>
        <w:t xml:space="preserve">Targets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500"/>
      </w:tblGrid>
      <w:tr>
        <w:tc>
          <w:tcPr>
            <w:tcW w:type="dxa" w:w="2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readmitted_30days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 (0/1)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 REGRESSION TARGET — whether patient was readmitted within 30 days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total_healthcare_cost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 REGRESSION TARGET — total billed cost for the visit, USD (contains outliers)</w:t>
            </w:r>
          </w:p>
        </w:tc>
      </w:tr>
    </w:tbl>
    <w:p>
      <w:pPr>
        <w:pStyle w:val="Heading1"/>
        <w:spacing w:after="150" w:before="300"/>
      </w:pPr>
      <w:r>
        <w:t xml:space="preserve">Suggested Modeling Notes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Linear Regression (total_healthcare_cost): strongest expected drivers are length_of_stay_days, had_surgery, num_chronic_conditions, medication_count, age, department, and gene_marker_score. Consider log-transforming cost to handle right-skew and injected outliers.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Logistic Regression (readmitted_30days): strongest expected drivers are age, num_chronic_conditions, num_prior_hospital_visits, length_of_stay_days, gene_marker_score, had_surgery, smoking_status, and insurance_type. Class balance is realistic (minority positive class) — check balance before modeling.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Watch for data leakage: don't use discharge_date/length_of_stay_days naively if simulating an at-admission prediction scenario; optionally engineer an admission-time-only feature set as a stretch goal.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Recommended cleaning order: fix text inconsistencies → handle impossible values → deduplicate (exact + near) → handle missingness → engineer features → EDA → feature selection →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2026-07-22T05:24:19.294Z</dcterms:created>
  <dcterms:modified xsi:type="dcterms:W3CDTF">2026-07-22T05:24:19.295Z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