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472"/>
          <w:spacing w:val="30"/>
          <w:sz w:val="18"/>
          <w:szCs w:val="18"/>
        </w:rPr>
        <w:t xml:space="preserve">DMSSYNERGY — ISSUE REPORT</w:t>
      </w:r>
    </w:p>
    <w:p>
      <w:pPr>
        <w:pStyle w:val="Title"/>
        <w:spacing w:after="200"/>
      </w:pPr>
      <w:r>
        <w:rPr>
          <w:rFonts w:ascii="Calibri" w:cs="Calibri" w:eastAsia="Calibri" w:hAnsi="Calibri"/>
          <w:b/>
          <w:bCs/>
          <w:color w:val="1A1F2B"/>
          <w:sz w:val="40"/>
          <w:szCs w:val="40"/>
        </w:rPr>
        <w:t xml:space="preserve">Two issues found, plus one open question</w:t>
      </w:r>
    </w:p>
    <w:p>
      <w:pPr>
        <w:spacing w:after="60"/>
      </w:pPr>
      <w:r>
        <w:rPr>
          <w:rFonts w:ascii="Calibri" w:cs="Calibri" w:eastAsia="Calibri" w:hAnsi="Calibri"/>
          <w:color w:val="5B6472"/>
          <w:sz w:val="20"/>
          <w:szCs w:val="20"/>
        </w:rPr>
        <w:t xml:space="preserve">Environment tested:  </w:t>
      </w:r>
      <w:r>
        <w:rPr>
          <w:rFonts w:ascii="Consolas" w:cs="Consolas" w:eastAsia="Consolas" w:hAnsi="Consolas"/>
          <w:color w:val="1A1F2B"/>
          <w:sz w:val="20"/>
          <w:szCs w:val="20"/>
        </w:rPr>
        <w:t xml:space="preserve">dmsuiv3.aitalkx.com</w:t>
      </w:r>
    </w:p>
    <w:p>
      <w:pPr>
        <w:spacing w:after="60"/>
      </w:pPr>
      <w:r>
        <w:rPr>
          <w:rFonts w:ascii="Calibri" w:cs="Calibri" w:eastAsia="Calibri" w:hAnsi="Calibri"/>
          <w:color w:val="5B6472"/>
          <w:sz w:val="20"/>
          <w:szCs w:val="20"/>
        </w:rPr>
        <w:t xml:space="preserve">Date:  </w:t>
      </w:r>
      <w:r>
        <w:rPr>
          <w:rFonts w:ascii="Calibri" w:cs="Calibri" w:eastAsia="Calibri" w:hAnsi="Calibri"/>
          <w:color w:val="1A1F2B"/>
          <w:sz w:val="20"/>
          <w:szCs w:val="20"/>
        </w:rPr>
        <w:t xml:space="preserve">26 August 2026</w:t>
      </w:r>
    </w:p>
    <w:p>
      <w:pPr>
        <w:spacing w:after="300"/>
      </w:pPr>
      <w:r>
        <w:rPr>
          <w:rFonts w:ascii="Calibri" w:cs="Calibri" w:eastAsia="Calibri" w:hAnsi="Calibri"/>
          <w:color w:val="5B6472"/>
          <w:sz w:val="20"/>
          <w:szCs w:val="20"/>
        </w:rPr>
        <w:t xml:space="preserve">Contact:  </w:t>
      </w:r>
      <w:r>
        <w:rPr>
          <w:rFonts w:ascii="Calibri" w:cs="Calibri" w:eastAsia="Calibri" w:hAnsi="Calibri"/>
          <w:color w:val="1A1F2B"/>
          <w:sz w:val="20"/>
          <w:szCs w:val="20"/>
        </w:rPr>
        <w:t xml:space="preserve">Hashim Khan — hashim.khan@extranet.ae</w:t>
      </w:r>
    </w:p>
    <w:p>
      <w:pPr>
        <w:pBdr>
          <w:bottom w:val="single" w:color="2B4C6F" w:sz="12" w:space="1"/>
        </w:pBdr>
        <w:spacing w:after="240" w:before="60"/>
      </w:pPr>
      <w:r>
        <w:rPr>
          <w:sz w:val="2"/>
          <w:szCs w:val="2"/>
        </w:rPr>
        <w:t xml:space="preserve"/>
      </w:r>
    </w:p>
    <w:p>
      <w:pPr>
        <w:spacing w:after="160" w:line="300"/>
      </w:pPr>
      <w:r>
        <w:rPr>
          <w:rFonts w:ascii="Calibri" w:cs="Calibri" w:eastAsia="Calibri" w:hAnsi="Calibri"/>
          <w:b w:val="false"/>
          <w:bCs w:val="false"/>
          <w:i w:val="false"/>
          <w:iCs w:val="false"/>
          <w:color w:val="1A1F2B"/>
          <w:sz w:val="22"/>
          <w:szCs w:val="22"/>
        </w:rPr>
        <w:t xml:space="preserve">This note describes two confirmed issues in the application, and one thing we noticed but have not yet confirmed is a real bug. Everything below was verified by hand before being included here; a few things we initially suspected turned out to be issues in our own testing setup rather than the app, and those were dropped rather than reported. We’re flagging the one still-unconfirmed item separately and clearly, rather than folding it in with the two confirmed findings.</w:t>
      </w:r>
    </w:p>
    <w:p>
      <w:pPr>
        <w:pStyle w:val="Heading1"/>
        <w:spacing w:after="40" w:before="480"/>
      </w:pPr>
      <w:r>
        <w:rPr>
          <w:rFonts w:ascii="Calibri" w:cs="Calibri" w:eastAsia="Calibri" w:hAnsi="Calibri"/>
          <w:b/>
          <w:bCs/>
          <w:color w:val="1A1F2B"/>
          <w:sz w:val="30"/>
          <w:szCs w:val="30"/>
        </w:rPr>
        <w:t xml:space="preserve">1  Session refresh token expires before the session it’s meant to renew</w:t>
      </w:r>
    </w:p>
    <w:tbl>
      <w:tblPr>
        <w:tblW w:type="dxa" w:w="4680"/>
        <w:tblBorders>
          <w:top w:val="none" w:color="FFFFFF" w:sz="0"/>
          <w:left w:val="none" w:color="FFFFFF" w:sz="0"/>
          <w:bottom w:val="none" w:color="FFFFFF" w:sz="0"/>
          <w:right w:val="none" w:color="FFFFFF" w:sz="0"/>
          <w:insideH w:val="none" w:color="FFFFFF" w:sz="0"/>
          <w:insideV w:val="none" w:color="FFFFFF" w:sz="0"/>
        </w:tblBorders>
      </w:tblPr>
      <w:tblGrid>
        <w:gridCol w:w="4680"/>
      </w:tblGrid>
      <w:tr>
        <w:tc>
          <w:tcPr>
            <w:tcW w:type="dxa" w:w="4680"/>
            <w:tcBorders>
              <w:top w:val="none" w:color="FFFFFF" w:sz="0"/>
              <w:left w:val="none" w:color="FFFFFF" w:sz="0"/>
              <w:bottom w:val="none" w:color="FFFFFF" w:sz="0"/>
              <w:right w:val="none" w:color="FFFFFF" w:sz="0"/>
            </w:tcBorders>
            <w:shd w:fill="B5651D" w:val="clear"/>
            <w:tcMar>
              <w:top w:type="dxa" w:w="80"/>
              <w:left w:type="dxa" w:w="160"/>
              <w:bottom w:type="dxa" w:w="80"/>
              <w:right w:type="dxa" w:w="160"/>
            </w:tcMar>
          </w:tcPr>
          <w:p>
            <w:r>
              <w:rPr>
                <w:rFonts w:ascii="Calibri" w:cs="Calibri" w:eastAsia="Calibri" w:hAnsi="Calibri"/>
                <w:b/>
                <w:bCs/>
                <w:color w:val="FFFFFF"/>
                <w:spacing w:val="20"/>
                <w:sz w:val="17"/>
                <w:szCs w:val="17"/>
              </w:rPr>
              <w:t xml:space="preserve">IMPACT UNCONFIRMED</w:t>
            </w:r>
          </w:p>
        </w:tc>
      </w:tr>
    </w:tbl>
    <w:p>
      <w:pPr>
        <w:spacing w:after="160"/>
      </w:pPr>
    </w:p>
    <w:p>
      <w:pPr>
        <w:spacing w:after="160" w:line="300"/>
      </w:pPr>
      <w:r>
        <w:rPr>
          <w:rFonts w:ascii="Calibri" w:cs="Calibri" w:eastAsia="Calibri" w:hAnsi="Calibri"/>
          <w:b w:val="false"/>
          <w:bCs w:val="false"/>
          <w:i/>
          <w:iCs/>
          <w:color w:val="1A1F2B"/>
          <w:sz w:val="22"/>
          <w:szCs w:val="22"/>
        </w:rPr>
        <w:t xml:space="preserve">Confirmed: the token lifetimes are inverted. Not confirmed: whether this actually affects users — see "What we don’t know" below before assuming this needs an urgent fix.</w:t>
      </w:r>
    </w:p>
    <w:p>
      <w:pPr>
        <w:spacing w:after="100" w:before="260"/>
      </w:pPr>
      <w:r>
        <w:rPr>
          <w:rFonts w:ascii="Calibri" w:cs="Calibri" w:eastAsia="Calibri" w:hAnsi="Calibri"/>
          <w:b/>
          <w:bCs/>
          <w:color w:val="2B4C6F"/>
          <w:sz w:val="23"/>
          <w:szCs w:val="23"/>
        </w:rPr>
        <w:t xml:space="preserve">What happens</w:t>
      </w:r>
    </w:p>
    <w:p>
      <w:pPr>
        <w:spacing w:after="160" w:line="300"/>
      </w:pPr>
      <w:r>
        <w:rPr>
          <w:rFonts w:ascii="Calibri" w:cs="Calibri" w:eastAsia="Calibri" w:hAnsi="Calibri"/>
          <w:b w:val="false"/>
          <w:bCs w:val="false"/>
          <w:i w:val="false"/>
          <w:iCs w:val="false"/>
          <w:color w:val="1A1F2B"/>
          <w:sz w:val="22"/>
          <w:szCs w:val="22"/>
        </w:rPr>
        <w:t xml:space="preserve">When a user logs in, the app stores two tokens in the browser’s local storage: an access token (used to make API calls) and a refresh token (used to silently get a new access token once the first one is close to expiring, without the user noticing).</w:t>
      </w:r>
    </w:p>
    <w:p>
      <w:pPr>
        <w:spacing w:after="160" w:line="300"/>
      </w:pPr>
      <w:r>
        <w:rPr>
          <w:rFonts w:ascii="Calibri" w:cs="Calibri" w:eastAsia="Calibri" w:hAnsi="Calibri"/>
          <w:b w:val="false"/>
          <w:bCs w:val="false"/>
          <w:i w:val="false"/>
          <w:iCs w:val="false"/>
          <w:color w:val="1A1F2B"/>
          <w:sz w:val="22"/>
          <w:szCs w:val="22"/>
        </w:rPr>
        <w:t xml:space="preserve">The problem: the refresh token expires in 15 minutes, but the access token it’s supposed to renew stays valid for 60 minutes. A refresh token is supposed to outlive the access token it renews — here it’s the reverse, by a factor of four. This part is directly confirmed — see the reproduction steps below.</w:t>
      </w:r>
    </w:p>
    <w:p>
      <w:pPr>
        <w:spacing w:after="100" w:before="260"/>
      </w:pPr>
      <w:r>
        <w:rPr>
          <w:rFonts w:ascii="Calibri" w:cs="Calibri" w:eastAsia="Calibri" w:hAnsi="Calibri"/>
          <w:b/>
          <w:bCs/>
          <w:color w:val="2B4C6F"/>
          <w:sz w:val="23"/>
          <w:szCs w:val="23"/>
        </w:rPr>
        <w:t xml:space="preserve">What we don’t know</w:t>
      </w:r>
    </w:p>
    <w:p>
      <w:pPr>
        <w:spacing w:after="160" w:line="300"/>
      </w:pPr>
      <w:r>
        <w:rPr>
          <w:rFonts w:ascii="Calibri" w:cs="Calibri" w:eastAsia="Calibri" w:hAnsi="Calibri"/>
          <w:b w:val="false"/>
          <w:bCs w:val="false"/>
          <w:i w:val="false"/>
          <w:iCs w:val="false"/>
          <w:color w:val="1A1F2B"/>
          <w:sz w:val="22"/>
          <w:szCs w:val="22"/>
        </w:rPr>
        <w:t xml:space="preserve">We have not observed a user actually being signed out because of this, and we don’t want to overstate what the token lifetimes alone tell us. Two things determine whether this has any user-facing effect at all, and we don’t know the answer to either:</w:t>
      </w:r>
    </w:p>
    <w:p>
      <w:pPr>
        <w:pStyle w:val="ListParagraph"/>
        <w:numPr>
          <w:ilvl w:val="0"/>
          <w:numId w:val="2"/>
        </w:numPr>
        <w:spacing w:after="100" w:line="300"/>
      </w:pPr>
      <w:r>
        <w:rPr>
          <w:rFonts w:ascii="Calibri" w:cs="Calibri" w:eastAsia="Calibri" w:hAnsi="Calibri"/>
          <w:color w:val="1A1F2B"/>
          <w:sz w:val="22"/>
          <w:szCs w:val="22"/>
        </w:rPr>
        <w:t xml:space="preserve">There is a separate refresh token stored as a cookie, valid for about 7 days — much longer-lived than either local-storage token. If the app automatically falls back to that cookie when the local-storage refresh token has expired, this inversion may never actually cause a problem for a real user.</w:t>
      </w:r>
    </w:p>
    <w:p>
      <w:pPr>
        <w:pStyle w:val="ListParagraph"/>
        <w:numPr>
          <w:ilvl w:val="0"/>
          <w:numId w:val="2"/>
        </w:numPr>
        <w:spacing w:after="100" w:line="300"/>
      </w:pPr>
      <w:r>
        <w:rPr>
          <w:rFonts w:ascii="Calibri" w:cs="Calibri" w:eastAsia="Calibri" w:hAnsi="Calibri"/>
          <w:color w:val="1A1F2B"/>
          <w:sz w:val="22"/>
          <w:szCs w:val="22"/>
        </w:rPr>
        <w:t xml:space="preserve">We don’t know what the app does when a silent refresh fails outright — whether it forces a re-login, retries some other way, or simply waits until the access token itself expires.</w:t>
      </w:r>
    </w:p>
    <w:p>
      <w:pPr>
        <w:spacing w:after="160" w:line="300"/>
      </w:pPr>
      <w:r>
        <w:rPr>
          <w:rFonts w:ascii="Calibri" w:cs="Calibri" w:eastAsia="Calibri" w:hAnsi="Calibri"/>
          <w:b w:val="false"/>
          <w:bCs w:val="false"/>
          <w:i w:val="false"/>
          <w:iCs w:val="false"/>
          <w:color w:val="1A1F2B"/>
          <w:sz w:val="22"/>
          <w:szCs w:val="22"/>
        </w:rPr>
        <w:t xml:space="preserve">We’d suggest whoever owns the refresh logic check both of those before deciding whether this needs fixing urgently, fixing eventually, or isn’t actually a problem in practice.</w:t>
      </w:r>
    </w:p>
    <w:p>
      <w:pPr>
        <w:spacing w:after="100" w:before="260"/>
      </w:pPr>
      <w:r>
        <w:rPr>
          <w:rFonts w:ascii="Calibri" w:cs="Calibri" w:eastAsia="Calibri" w:hAnsi="Calibri"/>
          <w:b/>
          <w:bCs/>
          <w:color w:val="2B4C6F"/>
          <w:sz w:val="23"/>
          <w:szCs w:val="23"/>
        </w:rPr>
        <w:t xml:space="preserve">How to see it yourself</w:t>
      </w:r>
    </w:p>
    <w:p>
      <w:pPr>
        <w:pStyle w:val="ListParagraph"/>
        <w:numPr>
          <w:ilvl w:val="0"/>
          <w:numId w:val="3"/>
        </w:numPr>
        <w:spacing w:after="100" w:line="300"/>
      </w:pPr>
      <w:r>
        <w:rPr>
          <w:rFonts w:ascii="Calibri" w:cs="Calibri" w:eastAsia="Calibri" w:hAnsi="Calibri"/>
          <w:color w:val="1A1F2B"/>
          <w:sz w:val="22"/>
          <w:szCs w:val="22"/>
        </w:rPr>
        <w:t xml:space="preserve">Log in to the app normally.</w:t>
      </w:r>
    </w:p>
    <w:p>
      <w:pPr>
        <w:pStyle w:val="ListParagraph"/>
        <w:numPr>
          <w:ilvl w:val="0"/>
          <w:numId w:val="3"/>
        </w:numPr>
        <w:spacing w:after="100" w:line="300"/>
      </w:pPr>
      <w:r>
        <w:rPr>
          <w:rFonts w:ascii="Calibri" w:cs="Calibri" w:eastAsia="Calibri" w:hAnsi="Calibri"/>
          <w:color w:val="1A1F2B"/>
          <w:sz w:val="22"/>
          <w:szCs w:val="22"/>
        </w:rPr>
        <w:t xml:space="preserve">Open your browser’s developer tools → Application tab → Local Storage → the dmsuiv3.aitalkx.com entry.</w:t>
      </w:r>
    </w:p>
    <w:p>
      <w:pPr>
        <w:pStyle w:val="ListParagraph"/>
        <w:numPr>
          <w:ilvl w:val="0"/>
          <w:numId w:val="3"/>
        </w:numPr>
        <w:spacing w:after="100" w:line="300"/>
      </w:pPr>
      <w:r>
        <w:rPr>
          <w:rFonts w:ascii="Calibri" w:cs="Calibri" w:eastAsia="Calibri" w:hAnsi="Calibri"/>
          <w:color w:val="1A1F2B"/>
          <w:sz w:val="22"/>
          <w:szCs w:val="22"/>
        </w:rPr>
        <w:t xml:space="preserve">Find the access token and refresh token values. Each is a JWT (three dot-separated sections). Paste the middle section of each into a JWT decoder (or run atob() on it in the console) to read its iat (issued-at) and exp (expiry) fields.</w:t>
      </w:r>
    </w:p>
    <w:p>
      <w:pPr>
        <w:pStyle w:val="ListParagraph"/>
        <w:numPr>
          <w:ilvl w:val="0"/>
          <w:numId w:val="3"/>
        </w:numPr>
        <w:spacing w:after="100" w:line="300"/>
      </w:pPr>
      <w:r>
        <w:rPr>
          <w:rFonts w:ascii="Calibri" w:cs="Calibri" w:eastAsia="Calibri" w:hAnsi="Calibri"/>
          <w:color w:val="1A1F2B"/>
          <w:sz w:val="22"/>
          <w:szCs w:val="22"/>
        </w:rPr>
        <w:t xml:space="preserve">Compare the two: the refresh token’s exp will be exactly 15 minutes after iat; the access token’s exp will be 60 minutes after the same iat.</w:t>
      </w:r>
    </w:p>
    <w:p>
      <w:pPr>
        <w:spacing w:after="100" w:before="260"/>
      </w:pPr>
      <w:r>
        <w:rPr>
          <w:rFonts w:ascii="Calibri" w:cs="Calibri" w:eastAsia="Calibri" w:hAnsi="Calibri"/>
          <w:b/>
          <w:bCs/>
          <w:color w:val="2B4C6F"/>
          <w:sz w:val="23"/>
          <w:szCs w:val="23"/>
        </w:rPr>
        <w:t xml:space="preserve">Suggested fix</w:t>
      </w:r>
    </w:p>
    <w:p>
      <w:pPr>
        <w:spacing w:after="160" w:line="300"/>
      </w:pPr>
      <w:r>
        <w:rPr>
          <w:rFonts w:ascii="Calibri" w:cs="Calibri" w:eastAsia="Calibri" w:hAnsi="Calibri"/>
          <w:b w:val="false"/>
          <w:bCs w:val="false"/>
          <w:i w:val="false"/>
          <w:iCs w:val="false"/>
          <w:color w:val="1A1F2B"/>
          <w:sz w:val="22"/>
          <w:szCs w:val="22"/>
        </w:rPr>
        <w:t xml:space="preserve">Confirm whether the cookie-based refresh token is actually used as a fallback once the local-storage one expires. If it isn’t (or the fallback isn’t automatic), lengthen the local-storage refresh token’s lifetime so it safely outlives the access token it renews — the usual pattern. Either way, worth documenting what’s supposed to happen when a silent refresh has nothing valid to use.</w:t>
      </w:r>
    </w:p>
    <w:p>
      <w:pPr>
        <w:pStyle w:val="Heading1"/>
        <w:spacing w:after="40" w:before="480"/>
      </w:pPr>
      <w:r>
        <w:rPr>
          <w:rFonts w:ascii="Calibri" w:cs="Calibri" w:eastAsia="Calibri" w:hAnsi="Calibri"/>
          <w:b/>
          <w:bCs/>
          <w:color w:val="1A1F2B"/>
          <w:sz w:val="30"/>
          <w:szCs w:val="30"/>
        </w:rPr>
        <w:t xml:space="preserve">2  The More options menu doesn’t close when you press Escape</w:t>
      </w:r>
    </w:p>
    <w:tbl>
      <w:tblPr>
        <w:tblW w:type="dxa" w:w="3380"/>
        <w:tblBorders>
          <w:top w:val="none" w:color="FFFFFF" w:sz="0"/>
          <w:left w:val="none" w:color="FFFFFF" w:sz="0"/>
          <w:bottom w:val="none" w:color="FFFFFF" w:sz="0"/>
          <w:right w:val="none" w:color="FFFFFF" w:sz="0"/>
          <w:insideH w:val="none" w:color="FFFFFF" w:sz="0"/>
          <w:insideV w:val="none" w:color="FFFFFF" w:sz="0"/>
        </w:tblBorders>
      </w:tblPr>
      <w:tblGrid>
        <w:gridCol w:w="3380"/>
      </w:tblGrid>
      <w:tr>
        <w:tc>
          <w:tcPr>
            <w:tcW w:type="dxa" w:w="3380"/>
            <w:tcBorders>
              <w:top w:val="none" w:color="FFFFFF" w:sz="0"/>
              <w:left w:val="none" w:color="FFFFFF" w:sz="0"/>
              <w:bottom w:val="none" w:color="FFFFFF" w:sz="0"/>
              <w:right w:val="none" w:color="FFFFFF" w:sz="0"/>
            </w:tcBorders>
            <w:shd w:fill="4A7A6F" w:val="clear"/>
            <w:tcMar>
              <w:top w:type="dxa" w:w="80"/>
              <w:left w:type="dxa" w:w="160"/>
              <w:bottom w:type="dxa" w:w="80"/>
              <w:right w:type="dxa" w:w="160"/>
            </w:tcMar>
          </w:tcPr>
          <w:p>
            <w:r>
              <w:rPr>
                <w:rFonts w:ascii="Calibri" w:cs="Calibri" w:eastAsia="Calibri" w:hAnsi="Calibri"/>
                <w:b/>
                <w:bCs/>
                <w:color w:val="FFFFFF"/>
                <w:spacing w:val="20"/>
                <w:sz w:val="17"/>
                <w:szCs w:val="17"/>
              </w:rPr>
              <w:t xml:space="preserve">SEVERITY: LOW</w:t>
            </w:r>
          </w:p>
        </w:tc>
      </w:tr>
    </w:tbl>
    <w:p>
      <w:pPr>
        <w:spacing w:after="160"/>
      </w:pPr>
    </w:p>
    <w:p>
      <w:pPr>
        <w:spacing w:after="160" w:line="300"/>
      </w:pPr>
      <w:r>
        <w:rPr>
          <w:rFonts w:ascii="Calibri" w:cs="Calibri" w:eastAsia="Calibri" w:hAnsi="Calibri"/>
          <w:b w:val="false"/>
          <w:bCs w:val="false"/>
          <w:i/>
          <w:iCs/>
          <w:color w:val="1A1F2B"/>
          <w:sz w:val="22"/>
          <w:szCs w:val="22"/>
        </w:rPr>
        <w:t xml:space="preserve">A minor accessibility gap, not a functional break.</w:t>
      </w:r>
    </w:p>
    <w:p>
      <w:pPr>
        <w:spacing w:after="100" w:before="260"/>
      </w:pPr>
      <w:r>
        <w:rPr>
          <w:rFonts w:ascii="Calibri" w:cs="Calibri" w:eastAsia="Calibri" w:hAnsi="Calibri"/>
          <w:b/>
          <w:bCs/>
          <w:color w:val="2B4C6F"/>
          <w:sz w:val="23"/>
          <w:szCs w:val="23"/>
        </w:rPr>
        <w:t xml:space="preserve">What happens</w:t>
      </w:r>
    </w:p>
    <w:p>
      <w:pPr>
        <w:spacing w:after="160" w:line="300"/>
      </w:pPr>
      <w:r>
        <w:rPr>
          <w:rFonts w:ascii="Calibri" w:cs="Calibri" w:eastAsia="Calibri" w:hAnsi="Calibri"/>
          <w:b w:val="false"/>
          <w:bCs w:val="false"/>
          <w:i w:val="false"/>
          <w:iCs w:val="false"/>
          <w:color w:val="1A1F2B"/>
          <w:sz w:val="22"/>
          <w:szCs w:val="22"/>
        </w:rPr>
        <w:t xml:space="preserve">In File Explorer, opening a workspace’s "More options" menu (a dropdown menu with actions like Star, Edit, Download, Share, Delete) and then pressing the Escape key does nothing — the menu stays open. Clicking anywhere else on the page does close it immediately, so the menu isn’t stuck; it’s just that Escape specifically isn’t wired up to close it.</w:t>
      </w:r>
    </w:p>
    <w:p>
      <w:pPr>
        <w:spacing w:after="160" w:line="300"/>
      </w:pPr>
      <w:r>
        <w:rPr>
          <w:rFonts w:ascii="Calibri" w:cs="Calibri" w:eastAsia="Calibri" w:hAnsi="Calibri"/>
          <w:b w:val="false"/>
          <w:bCs w:val="false"/>
          <w:i w:val="false"/>
          <w:iCs w:val="false"/>
          <w:color w:val="1A1F2B"/>
          <w:sz w:val="22"/>
          <w:szCs w:val="22"/>
        </w:rPr>
        <w:t xml:space="preserve">This matters because Escape closing an open menu is the standard, expected keyboard behavior for this kind of control (it’s part of the WAI-ARIA design pattern most menus follow). Keyboard users and screen reader users, who may not have an easy "click elsewhere" gesture available, rely on Escape to back out of a menu without having to hunt for a safe place to click.</w:t>
      </w:r>
    </w:p>
    <w:p>
      <w:pPr>
        <w:spacing w:after="100" w:before="260"/>
      </w:pPr>
      <w:r>
        <w:rPr>
          <w:rFonts w:ascii="Calibri" w:cs="Calibri" w:eastAsia="Calibri" w:hAnsi="Calibri"/>
          <w:b/>
          <w:bCs/>
          <w:color w:val="2B4C6F"/>
          <w:sz w:val="23"/>
          <w:szCs w:val="23"/>
        </w:rPr>
        <w:t xml:space="preserve">How to see it yourself</w:t>
      </w:r>
    </w:p>
    <w:p>
      <w:pPr>
        <w:pStyle w:val="ListParagraph"/>
        <w:numPr>
          <w:ilvl w:val="0"/>
          <w:numId w:val="4"/>
        </w:numPr>
        <w:spacing w:after="100" w:line="300"/>
      </w:pPr>
      <w:r>
        <w:rPr>
          <w:rFonts w:ascii="Calibri" w:cs="Calibri" w:eastAsia="Calibri" w:hAnsi="Calibri"/>
          <w:color w:val="1A1F2B"/>
          <w:sz w:val="22"/>
          <w:szCs w:val="22"/>
        </w:rPr>
        <w:t xml:space="preserve">Go to File Explorer.</w:t>
      </w:r>
    </w:p>
    <w:p>
      <w:pPr>
        <w:pStyle w:val="ListParagraph"/>
        <w:numPr>
          <w:ilvl w:val="0"/>
          <w:numId w:val="4"/>
        </w:numPr>
        <w:spacing w:after="100" w:line="300"/>
      </w:pPr>
      <w:r>
        <w:rPr>
          <w:rFonts w:ascii="Calibri" w:cs="Calibri" w:eastAsia="Calibri" w:hAnsi="Calibri"/>
          <w:color w:val="1A1F2B"/>
          <w:sz w:val="22"/>
          <w:szCs w:val="22"/>
        </w:rPr>
        <w:t xml:space="preserve">Click the "More options" (⋯) button on any workspace row to open its menu.</w:t>
      </w:r>
    </w:p>
    <w:p>
      <w:pPr>
        <w:pStyle w:val="ListParagraph"/>
        <w:numPr>
          <w:ilvl w:val="0"/>
          <w:numId w:val="4"/>
        </w:numPr>
        <w:spacing w:after="100" w:line="300"/>
      </w:pPr>
      <w:r>
        <w:rPr>
          <w:rFonts w:ascii="Calibri" w:cs="Calibri" w:eastAsia="Calibri" w:hAnsi="Calibri"/>
          <w:color w:val="1A1F2B"/>
          <w:sz w:val="22"/>
          <w:szCs w:val="22"/>
        </w:rPr>
        <w:t xml:space="preserve">Press Escape.</w:t>
      </w:r>
    </w:p>
    <w:p>
      <w:pPr>
        <w:pStyle w:val="ListParagraph"/>
        <w:numPr>
          <w:ilvl w:val="0"/>
          <w:numId w:val="4"/>
        </w:numPr>
        <w:spacing w:after="100" w:line="300"/>
      </w:pPr>
      <w:r>
        <w:rPr>
          <w:rFonts w:ascii="Calibri" w:cs="Calibri" w:eastAsia="Calibri" w:hAnsi="Calibri"/>
          <w:color w:val="1A1F2B"/>
          <w:sz w:val="22"/>
          <w:szCs w:val="22"/>
        </w:rPr>
        <w:t xml:space="preserve">The menu remains open. Click anywhere outside the menu instead, and it closes right away.</w:t>
      </w:r>
    </w:p>
    <w:p>
      <w:pPr>
        <w:spacing w:after="100" w:before="260"/>
      </w:pPr>
      <w:r>
        <w:rPr>
          <w:rFonts w:ascii="Calibri" w:cs="Calibri" w:eastAsia="Calibri" w:hAnsi="Calibri"/>
          <w:b/>
          <w:bCs/>
          <w:color w:val="2B4C6F"/>
          <w:sz w:val="23"/>
          <w:szCs w:val="23"/>
        </w:rPr>
        <w:t xml:space="preserve">Suggested fix</w:t>
      </w:r>
    </w:p>
    <w:p>
      <w:pPr>
        <w:spacing w:after="160" w:line="300"/>
      </w:pPr>
      <w:r>
        <w:rPr>
          <w:rFonts w:ascii="Calibri" w:cs="Calibri" w:eastAsia="Calibri" w:hAnsi="Calibri"/>
          <w:b w:val="false"/>
          <w:bCs w:val="false"/>
          <w:i w:val="false"/>
          <w:iCs w:val="false"/>
          <w:color w:val="1A1F2B"/>
          <w:sz w:val="22"/>
          <w:szCs w:val="22"/>
        </w:rPr>
        <w:t xml:space="preserve">Wire the standard Escape-to-close behavior into this menu component, matching how a click outside the menu already closes it.</w:t>
      </w:r>
    </w:p>
    <w:p>
      <w:pPr>
        <w:pStyle w:val="Heading1"/>
        <w:spacing w:after="40" w:before="480"/>
      </w:pPr>
      <w:r>
        <w:rPr>
          <w:rFonts w:ascii="Calibri" w:cs="Calibri" w:eastAsia="Calibri" w:hAnsi="Calibri"/>
          <w:b/>
          <w:bCs/>
          <w:color w:val="6B6470"/>
          <w:sz w:val="30"/>
          <w:szCs w:val="30"/>
        </w:rPr>
        <w:t xml:space="preserve">?  Open question — not confirmed</w:t>
      </w:r>
    </w:p>
    <w:tbl>
      <w:tblPr>
        <w:tblW w:type="dxa" w:w="4420"/>
        <w:tblBorders>
          <w:top w:val="none" w:color="FFFFFF" w:sz="0"/>
          <w:left w:val="none" w:color="FFFFFF" w:sz="0"/>
          <w:bottom w:val="none" w:color="FFFFFF" w:sz="0"/>
          <w:right w:val="none" w:color="FFFFFF" w:sz="0"/>
          <w:insideH w:val="none" w:color="FFFFFF" w:sz="0"/>
          <w:insideV w:val="none" w:color="FFFFFF" w:sz="0"/>
        </w:tblBorders>
      </w:tblPr>
      <w:tblGrid>
        <w:gridCol w:w="4420"/>
      </w:tblGrid>
      <w:tr>
        <w:tc>
          <w:tcPr>
            <w:tcW w:type="dxa" w:w="4420"/>
            <w:tcBorders>
              <w:top w:val="none" w:color="FFFFFF" w:sz="0"/>
              <w:left w:val="none" w:color="FFFFFF" w:sz="0"/>
              <w:bottom w:val="none" w:color="FFFFFF" w:sz="0"/>
              <w:right w:val="none" w:color="FFFFFF" w:sz="0"/>
            </w:tcBorders>
            <w:shd w:fill="6B6470" w:val="clear"/>
            <w:tcMar>
              <w:top w:type="dxa" w:w="80"/>
              <w:left w:type="dxa" w:w="160"/>
              <w:bottom w:type="dxa" w:w="80"/>
              <w:right w:type="dxa" w:w="160"/>
            </w:tcMar>
          </w:tcPr>
          <w:p>
            <w:r>
              <w:rPr>
                <w:rFonts w:ascii="Calibri" w:cs="Calibri" w:eastAsia="Calibri" w:hAnsi="Calibri"/>
                <w:b/>
                <w:bCs/>
                <w:color w:val="FFFFFF"/>
                <w:spacing w:val="20"/>
                <w:sz w:val="17"/>
                <w:szCs w:val="17"/>
              </w:rPr>
              <w:t xml:space="preserve">NOT YET A FINDING</w:t>
            </w:r>
          </w:p>
        </w:tc>
      </w:tr>
    </w:tbl>
    <w:p>
      <w:pPr>
        <w:spacing w:after="160"/>
      </w:pPr>
    </w:p>
    <w:p>
      <w:pPr>
        <w:spacing w:after="160" w:line="300"/>
      </w:pPr>
      <w:r>
        <w:rPr>
          <w:rFonts w:ascii="Calibri" w:cs="Calibri" w:eastAsia="Calibri" w:hAnsi="Calibri"/>
          <w:b w:val="false"/>
          <w:bCs w:val="false"/>
          <w:i/>
          <w:iCs/>
          <w:color w:val="1A1F2B"/>
          <w:sz w:val="22"/>
          <w:szCs w:val="22"/>
        </w:rPr>
        <w:t xml:space="preserve">The following is something we observed but have not traced to a cause. We’re including it only because it might be useful for someone with direct knowledge of this component to take a quick look — please treat it as "here’s what we saw," not "here’s a bug."</w:t>
      </w:r>
    </w:p>
    <w:p>
      <w:pPr>
        <w:spacing w:after="100" w:before="260"/>
      </w:pPr>
      <w:r>
        <w:rPr>
          <w:rFonts w:ascii="Calibri" w:cs="Calibri" w:eastAsia="Calibri" w:hAnsi="Calibri"/>
          <w:b/>
          <w:bCs/>
          <w:color w:val="2B4C6F"/>
          <w:sz w:val="23"/>
          <w:szCs w:val="23"/>
        </w:rPr>
        <w:t xml:space="preserve">Where</w:t>
      </w:r>
    </w:p>
    <w:p>
      <w:pPr>
        <w:spacing w:after="160" w:line="300"/>
      </w:pPr>
      <w:r>
        <w:rPr>
          <w:rFonts w:ascii="Calibri" w:cs="Calibri" w:eastAsia="Calibri" w:hAnsi="Calibri"/>
          <w:b w:val="false"/>
          <w:bCs w:val="false"/>
          <w:i w:val="false"/>
          <w:iCs w:val="false"/>
          <w:color w:val="1A1F2B"/>
          <w:sz w:val="22"/>
          <w:szCs w:val="22"/>
        </w:rPr>
        <w:t xml:space="preserve">The document upload wizard, on the step where you pick a destination folder (after picking a workspace, which itself works correctly — you select a workspace and the wizard moves straight to the folder-picking step, no complaints there).</w:t>
      </w:r>
    </w:p>
    <w:p>
      <w:pPr>
        <w:spacing w:after="100" w:before="260"/>
      </w:pPr>
      <w:r>
        <w:rPr>
          <w:rFonts w:ascii="Calibri" w:cs="Calibri" w:eastAsia="Calibri" w:hAnsi="Calibri"/>
          <w:b/>
          <w:bCs/>
          <w:color w:val="2B4C6F"/>
          <w:sz w:val="23"/>
          <w:szCs w:val="23"/>
        </w:rPr>
        <w:t xml:space="preserve">What we saw, across a few separate attempts on that folder-picking step</w:t>
      </w:r>
    </w:p>
    <w:p>
      <w:pPr>
        <w:pStyle w:val="ListParagraph"/>
        <w:numPr>
          <w:ilvl w:val="0"/>
          <w:numId w:val="2"/>
        </w:numPr>
        <w:spacing w:after="100" w:line="300"/>
      </w:pPr>
      <w:r>
        <w:rPr>
          <w:rFonts w:ascii="Calibri" w:cs="Calibri" w:eastAsia="Calibri" w:hAnsi="Calibri"/>
          <w:color w:val="1A1F2B"/>
          <w:sz w:val="22"/>
          <w:szCs w:val="22"/>
        </w:rPr>
        <w:t xml:space="preserve">Clicking a folder sometimes left the "Next" button disabled for several seconds afterward, with nothing on screen changing in that time.</w:t>
      </w:r>
    </w:p>
    <w:p>
      <w:pPr>
        <w:pStyle w:val="ListParagraph"/>
        <w:numPr>
          <w:ilvl w:val="0"/>
          <w:numId w:val="2"/>
        </w:numPr>
        <w:spacing w:after="100" w:line="300"/>
      </w:pPr>
      <w:r>
        <w:rPr>
          <w:rFonts w:ascii="Calibri" w:cs="Calibri" w:eastAsia="Calibri" w:hAnsi="Calibri"/>
          <w:color w:val="1A1F2B"/>
          <w:sz w:val="22"/>
          <w:szCs w:val="22"/>
        </w:rPr>
        <w:t xml:space="preserve">In one attempt, a folder row that appeared visually highlighted before being clicked lost that highlighting afterward, without "Next" becoming enabled.</w:t>
      </w:r>
    </w:p>
    <w:p>
      <w:pPr>
        <w:pStyle w:val="ListParagraph"/>
        <w:numPr>
          <w:ilvl w:val="0"/>
          <w:numId w:val="2"/>
        </w:numPr>
        <w:spacing w:after="100" w:line="300"/>
      </w:pPr>
      <w:r>
        <w:rPr>
          <w:rFonts w:ascii="Calibri" w:cs="Calibri" w:eastAsia="Calibri" w:hAnsi="Calibri"/>
          <w:color w:val="1A1F2B"/>
          <w:sz w:val="22"/>
          <w:szCs w:val="22"/>
        </w:rPr>
        <w:t xml:space="preserve">In one attempt, clicking a folder appeared to send the wizard all the way back to the very first step (choosing a workspace again), instead of either staying on the folder step or moving forward.</w:t>
      </w:r>
    </w:p>
    <w:p>
      <w:pPr>
        <w:spacing w:after="160" w:line="300"/>
      </w:pPr>
      <w:r>
        <w:rPr>
          <w:rFonts w:ascii="Calibri" w:cs="Calibri" w:eastAsia="Calibri" w:hAnsi="Calibri"/>
          <w:b w:val="false"/>
          <w:bCs w:val="false"/>
          <w:i w:val="false"/>
          <w:iCs w:val="false"/>
          <w:color w:val="1A1F2B"/>
          <w:sz w:val="22"/>
          <w:szCs w:val="22"/>
        </w:rPr>
        <w:t xml:space="preserve">We saw three different outcomes across a handful of tries and didn’t get far enough to know whether this is a genuine issue in the app, a quirk of how we were interacting with the page, or something else entirely (e.g. a slow network response arriving after we’d already stopped waiting). If someone familiar with this part of the app wants to poke at it, that would be more useful than anything further we could say about it right now.</w:t>
      </w:r>
    </w:p>
    <w:p>
      <w:pPr>
        <w:pBdr>
          <w:bottom w:val="single" w:color="D9DEE6" w:sz="12" w:space="1"/>
        </w:pBdr>
        <w:spacing w:after="240" w:before="60"/>
      </w:pPr>
      <w:r>
        <w:rPr>
          <w:sz w:val="2"/>
          <w:szCs w:val="2"/>
        </w:rPr>
        <w:t xml:space="preserve"/>
      </w:r>
    </w:p>
    <w:p>
      <w:pPr>
        <w:spacing w:before="120"/>
      </w:pPr>
      <w:r>
        <w:rPr>
          <w:rFonts w:ascii="Calibri" w:cs="Calibri" w:eastAsia="Calibri" w:hAnsi="Calibri"/>
          <w:i/>
          <w:iCs/>
          <w:color w:val="5B6472"/>
          <w:sz w:val="20"/>
          <w:szCs w:val="20"/>
        </w:rPr>
        <w:t xml:space="preserve">How we found these: we’re building an automated test suite against this application, and both confirmed issues above turned up while writing tests for ordinary, everyday flows (staying logged in during normal use; using a dropdown menu). Happy to share more detail on either one if useful.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2026-08-27T06:22:06.627Z</dcterms:created>
  <dcterms:modified xsi:type="dcterms:W3CDTF">2026-08-27T06:22:06.628Z</dcterms:modified>
</cp:coreProperties>
</file>

<file path=docProps/custom.xml><?xml version="1.0" encoding="utf-8"?>
<Properties xmlns="http://schemas.openxmlformats.org/officeDocument/2006/custom-properties" xmlns:vt="http://schemas.openxmlformats.org/officeDocument/2006/docPropsVTypes"/>
</file>