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before="0"/>
        <w:ind w:firstLine="0"/>
        <w:jc w:val="center"/>
      </w:pPr>
      <w:r>
        <w:rPr>
          <w:rFonts w:ascii="Times New Roman" w:hAnsi="Times New Roman" w:eastAsia="Times New Roman"/>
          <w:b/>
          <w:i w:val="0"/>
          <w:color w:val="000000"/>
          <w:sz w:val="32"/>
        </w:rPr>
        <w:t>Headline or article? Replacing a character-length switch with learned query routing for Urdu news search</w:t>
      </w:r>
    </w:p>
    <w:p>
      <w:pPr>
        <w:spacing w:line="480" w:lineRule="auto" w:after="0" w:before="0"/>
        <w:ind w:firstLine="0"/>
        <w:jc w:val="center"/>
      </w:pPr>
      <w:r>
        <w:rPr>
          <w:rFonts w:ascii="Times New Roman" w:hAnsi="Times New Roman" w:eastAsia="Times New Roman"/>
          <w:b w:val="0"/>
          <w:i/>
          <w:color w:val="000000"/>
          <w:sz w:val="24"/>
        </w:rPr>
        <w:t>Short title: Learned routing for Urdu news search</w:t>
      </w:r>
    </w:p>
    <w:p>
      <w:pPr>
        <w:spacing w:line="480" w:lineRule="auto" w:after="0" w:before="0"/>
        <w:ind w:firstLine="0"/>
        <w:jc w:val="center"/>
      </w:pPr>
      <w:r>
        <w:rPr>
          <w:rFonts w:ascii="Times New Roman" w:hAnsi="Times New Roman" w:eastAsia="Times New Roman"/>
          <w:b w:val="0"/>
          <w:i w:val="0"/>
          <w:color w:val="000000"/>
          <w:sz w:val="24"/>
        </w:rPr>
        <w:t>Hashim Shazad1*, Adnan Aslam1</w:t>
      </w:r>
    </w:p>
    <w:p>
      <w:pPr>
        <w:spacing w:line="480" w:lineRule="auto" w:after="0" w:before="0"/>
        <w:ind w:firstLine="0"/>
        <w:jc w:val="center"/>
      </w:pPr>
      <w:r>
        <w:rPr>
          <w:rFonts w:ascii="Times New Roman" w:hAnsi="Times New Roman" w:eastAsia="Times New Roman"/>
          <w:b w:val="0"/>
          <w:i w:val="0"/>
          <w:color w:val="000000"/>
          <w:sz w:val="24"/>
        </w:rPr>
        <w:t>1 Department of Creative Technologies, Air University, Islamabad, Pakistan</w:t>
      </w:r>
    </w:p>
    <w:p>
      <w:pPr>
        <w:spacing w:line="480" w:lineRule="auto" w:after="0" w:before="0"/>
        <w:ind w:firstLine="0"/>
        <w:jc w:val="center"/>
      </w:pPr>
      <w:r>
        <w:rPr>
          <w:rFonts w:ascii="Times New Roman" w:hAnsi="Times New Roman" w:eastAsia="Times New Roman"/>
          <w:b w:val="0"/>
          <w:i w:val="0"/>
          <w:color w:val="000000"/>
          <w:sz w:val="24"/>
        </w:rPr>
        <w:t>* Corresponding author: Hashim Shazad, Department of Creative Technologies, Air University, Islamabad, Pakistan. Email to be supplied at submission.</w:t>
      </w:r>
    </w:p>
    <w:p>
      <w:pPr>
        <w:spacing w:line="480" w:lineRule="auto" w:after="0" w:before="0"/>
        <w:ind w:firstLine="0"/>
        <w:jc w:val="center"/>
      </w:pPr>
      <w:r>
        <w:rPr>
          <w:rFonts w:ascii="Times New Roman" w:hAnsi="Times New Roman" w:eastAsia="Times New Roman"/>
          <w:b w:val="0"/>
          <w:i/>
          <w:color w:val="000000"/>
          <w:sz w:val="24"/>
        </w:rPr>
        <w:t>ORCID (corresponding author): to be added in the PLOS submission system.</w:t>
      </w:r>
    </w:p>
    <w:p>
      <w:pPr>
        <w:keepNext/>
        <w:spacing w:line="480" w:lineRule="auto" w:before="240" w:after="0"/>
        <w:ind w:firstLine="0"/>
      </w:pPr>
      <w:r>
        <w:rPr>
          <w:rFonts w:ascii="Times New Roman" w:hAnsi="Times New Roman" w:eastAsia="Times New Roman"/>
          <w:b/>
          <w:i w:val="0"/>
          <w:color w:val="000000"/>
          <w:sz w:val="28"/>
        </w:rPr>
        <w:t>Abstract</w:t>
      </w:r>
    </w:p>
    <w:p>
      <w:pPr>
        <w:spacing w:line="480" w:lineRule="auto" w:after="0" w:before="0"/>
        <w:ind w:firstLine="0"/>
      </w:pPr>
      <w:r>
        <w:rPr>
          <w:rFonts w:ascii="Times New Roman" w:hAnsi="Times New Roman" w:eastAsia="Times New Roman"/>
          <w:b w:val="0"/>
          <w:i w:val="0"/>
          <w:color w:val="000000"/>
          <w:sz w:val="24"/>
        </w:rPr>
        <w:t>Urdu search mixes native script with Roman Urdu typed on a Latin keyboard. A recent news retriever, ULTRA, still decides how to treat a query with one cutoff: 150 characters. That number is easy to code and easy to misunderstand. A short question can need a full article. A long question can be asking for a single fact that already sits in a headline.</w:t>
      </w:r>
    </w:p>
    <w:p>
      <w:pPr>
        <w:spacing w:line="480" w:lineRule="auto" w:after="0" w:before="0"/>
        <w:ind w:firstLine="0"/>
      </w:pPr>
      <w:r>
        <w:rPr>
          <w:rFonts w:ascii="Times New Roman" w:hAnsi="Times New Roman" w:eastAsia="Times New Roman"/>
          <w:b w:val="0"/>
          <w:i w:val="0"/>
          <w:color w:val="000000"/>
          <w:sz w:val="24"/>
        </w:rPr>
        <w:t>We kept the SHORT/LONG split but changed what it means. SHORT means a headline is probably enough. LONG means the user likely needs the article. An eight-feature support vector machine makes the call. Headlines and full articles live in two indexes. Confidence acts like a traffic light: high confidence searches one index, medium mixes both, low expands the query and then mixes.</w:t>
      </w:r>
    </w:p>
    <w:p>
      <w:pPr>
        <w:spacing w:line="480" w:lineRule="auto" w:after="0" w:before="0"/>
        <w:ind w:firstLine="0"/>
      </w:pPr>
      <w:r>
        <w:rPr>
          <w:rFonts w:ascii="Times New Roman" w:hAnsi="Times New Roman" w:eastAsia="Times New Roman"/>
          <w:b w:val="0"/>
          <w:i w:val="0"/>
          <w:color w:val="000000"/>
          <w:sz w:val="24"/>
        </w:rPr>
        <w:t>Three frozen tests are reported separately. On 50 held-out queries the SVM hit 86% label accuracy and a six-word rule hit 84% (McNemar p = 1.0). On 40 trap queries written so that length and need disagree, the SVM reached 60%, word count 20%, and the 150-character rule 50% (McNemar 16–0, p &lt; 0.001). Split by wording, the SVM was 18/18 when why/how/fact cues fired and 6/22 (27.27%) when they did not — the same as word count on that slice. Four hundred graded judgments on the same 40 queries did not reward the SVM at P@5 (word count 36.50%, always-headline and θ = 150 both 35.00%, always-full 34.25%, SVM 33.00%). nDCG@5 was highest for always-headline (0.6868).</w:t>
      </w:r>
    </w:p>
    <w:p>
      <w:pPr>
        <w:spacing w:line="480" w:lineRule="auto" w:after="0" w:before="0"/>
        <w:ind w:firstLine="0"/>
      </w:pPr>
      <w:r>
        <w:rPr>
          <w:rFonts w:ascii="Times New Roman" w:hAnsi="Times New Roman" w:eastAsia="Times New Roman"/>
          <w:b w:val="0"/>
          <w:i w:val="0"/>
          <w:color w:val="000000"/>
          <w:sz w:val="24"/>
        </w:rPr>
        <w:t>The character cutoff is a weak proxy for retrieval need. The SVM helps when the query carries an obvious cue. On this news collection it does not improve early precision. We report that result as part of the study, not as a footnote.</w:t>
      </w:r>
    </w:p>
    <w:p>
      <w:pPr>
        <w:keepNext/>
        <w:spacing w:line="480" w:lineRule="auto" w:before="240" w:after="0"/>
        <w:ind w:firstLine="0"/>
      </w:pPr>
      <w:r>
        <w:rPr>
          <w:rFonts w:ascii="Times New Roman" w:hAnsi="Times New Roman" w:eastAsia="Times New Roman"/>
          <w:b/>
          <w:i w:val="0"/>
          <w:color w:val="000000"/>
          <w:sz w:val="28"/>
        </w:rPr>
        <w:t>Author summary</w:t>
      </w:r>
    </w:p>
    <w:p>
      <w:pPr>
        <w:spacing w:line="480" w:lineRule="auto" w:after="0" w:before="0"/>
        <w:ind w:firstLine="0"/>
      </w:pPr>
      <w:r>
        <w:rPr>
          <w:rFonts w:ascii="Times New Roman" w:hAnsi="Times New Roman" w:eastAsia="Times New Roman"/>
          <w:b w:val="0"/>
          <w:i w:val="0"/>
          <w:color w:val="000000"/>
          <w:sz w:val="24"/>
        </w:rPr>
        <w:t>If you search Urdu news, the system has to guess whether you want a headline or the story under it. Counting letters is a poor guess. We trained a small model to make that guess and we gave it two rooms to search. It is better than counting words when the query says why or how. It is not better at putting a useful article in the first five hits. That second fact is the one we would have liked to hide. We did not.</w:t>
      </w:r>
    </w:p>
    <w:p>
      <w:pPr>
        <w:keepNext/>
        <w:spacing w:line="480" w:lineRule="auto" w:before="240" w:after="0"/>
        <w:ind w:firstLine="0"/>
      </w:pPr>
      <w:r>
        <w:rPr>
          <w:rFonts w:ascii="Times New Roman" w:hAnsi="Times New Roman" w:eastAsia="Times New Roman"/>
          <w:b/>
          <w:i w:val="0"/>
          <w:color w:val="000000"/>
          <w:sz w:val="28"/>
        </w:rPr>
        <w:t>Introduction</w:t>
      </w:r>
    </w:p>
    <w:p>
      <w:pPr>
        <w:spacing w:line="480" w:lineRule="auto" w:after="0" w:before="0"/>
        <w:ind w:firstLine="720"/>
      </w:pPr>
      <w:r>
        <w:rPr>
          <w:rFonts w:ascii="Times New Roman" w:hAnsi="Times New Roman" w:eastAsia="Times New Roman"/>
          <w:b w:val="0"/>
          <w:i w:val="0"/>
          <w:color w:val="000000"/>
          <w:sz w:val="24"/>
        </w:rPr>
        <w:t>Most English retrieval papers can assume that a query is typed in one script and that “short” and “long” roughly track how much context the user gave. Urdu search does not work like that. People switch between Perso-Arabic Urdu and Roman Urdu in the same session, spell the same word several ways, and pack a request for an explanation into three tokens [1–3].</w:t>
      </w:r>
    </w:p>
    <w:p>
      <w:pPr>
        <w:spacing w:line="480" w:lineRule="auto" w:after="0" w:before="0"/>
        <w:ind w:firstLine="720"/>
      </w:pPr>
      <w:r>
        <w:rPr>
          <w:rFonts w:ascii="Times New Roman" w:hAnsi="Times New Roman" w:eastAsia="Times New Roman"/>
          <w:b w:val="0"/>
          <w:i w:val="0"/>
          <w:color w:val="000000"/>
          <w:sz w:val="24"/>
        </w:rPr>
        <w:t>ULTRA is a recent dual-embedding news search system built for that setting [4]. Its routing rule is a tape measure: queries with 150 characters or more take one path, the rest take another. We started from that system because it is a published, inspectable baseline, not because we think character length is a theory of information need.</w:t>
      </w:r>
    </w:p>
    <w:p>
      <w:pPr>
        <w:spacing w:line="480" w:lineRule="auto" w:after="0" w:before="0"/>
        <w:ind w:firstLine="720"/>
      </w:pPr>
      <w:r>
        <w:rPr>
          <w:rFonts w:ascii="Times New Roman" w:hAnsi="Times New Roman" w:eastAsia="Times New Roman"/>
          <w:b w:val="0"/>
          <w:i w:val="0"/>
          <w:color w:val="000000"/>
          <w:sz w:val="24"/>
        </w:rPr>
        <w:t>A six-word cutoff is the other obvious tape. It is what a tired engineer would ship. It also fails on the queries that actually hurt: “team haar ka tajzia” is short and needs the article; “aaj pakistan ka score kya hai” can look long and still be a headline question.</w:t>
      </w:r>
    </w:p>
    <w:p>
      <w:pPr>
        <w:spacing w:line="480" w:lineRule="auto" w:after="0" w:before="0"/>
        <w:ind w:firstLine="720"/>
      </w:pPr>
      <w:r>
        <w:rPr>
          <w:rFonts w:ascii="Times New Roman" w:hAnsi="Times New Roman" w:eastAsia="Times New Roman"/>
          <w:b w:val="0"/>
          <w:i w:val="0"/>
          <w:color w:val="000000"/>
          <w:sz w:val="24"/>
        </w:rPr>
        <w:t>Learned routers exist for English. Arabzadeh and colleagues trained a classifier to pick sparse, dense, or hybrid retrieval per query [5]. Jeong et al. route retrieval-augmented generation by predicted question complexity [6]. Both lines of work were built on English resources. Urdu now has better evaluation material than it did ten years ago — CURE, an Urdu MS MARCO translation — but those collections still do not tell a system which index to open [7,8].</w:t>
      </w:r>
    </w:p>
    <w:p>
      <w:pPr>
        <w:spacing w:line="480" w:lineRule="auto" w:after="0" w:before="0"/>
        <w:ind w:firstLine="720"/>
      </w:pPr>
      <w:r>
        <w:rPr>
          <w:rFonts w:ascii="Times New Roman" w:hAnsi="Times New Roman" w:eastAsia="Times New Roman"/>
          <w:b w:val="0"/>
          <w:i w:val="0"/>
          <w:color w:val="000000"/>
          <w:sz w:val="24"/>
        </w:rPr>
        <w:t>This paper asks a smaller question than “can we beat GPT-4 at routing.” We ask whether SHORT versus LONG can be treated as headline-enough versus need-the-article, whether a cheap SVM can learn that on Urdu and Roman Urdu, and whether wiring the decision into two indexes actually moves P@5. The first two parts mostly work when the wording cooperates. The third, on the frozen traps we care about, does not.</w:t>
      </w:r>
    </w:p>
    <w:p>
      <w:pPr>
        <w:keepNext/>
        <w:spacing w:line="480" w:lineRule="auto" w:before="240" w:after="0"/>
        <w:ind w:firstLine="0"/>
      </w:pPr>
      <w:r>
        <w:rPr>
          <w:rFonts w:ascii="Times New Roman" w:hAnsi="Times New Roman" w:eastAsia="Times New Roman"/>
          <w:b/>
          <w:i w:val="0"/>
          <w:color w:val="000000"/>
          <w:sz w:val="28"/>
        </w:rPr>
        <w:t>Materials and methods</w:t>
      </w:r>
    </w:p>
    <w:p>
      <w:pPr>
        <w:keepNext/>
        <w:spacing w:line="480" w:lineRule="auto" w:before="240" w:after="0"/>
        <w:ind w:firstLine="0"/>
      </w:pPr>
      <w:r>
        <w:rPr>
          <w:rFonts w:ascii="Times New Roman" w:hAnsi="Times New Roman" w:eastAsia="Times New Roman"/>
          <w:b/>
          <w:i/>
          <w:color w:val="000000"/>
          <w:sz w:val="24"/>
        </w:rPr>
        <w:t>Ethics and data</w:t>
      </w:r>
    </w:p>
    <w:p>
      <w:pPr>
        <w:spacing w:line="480" w:lineRule="auto" w:after="0" w:before="0"/>
        <w:ind w:firstLine="720"/>
      </w:pPr>
      <w:r>
        <w:rPr>
          <w:rFonts w:ascii="Times New Roman" w:hAnsi="Times New Roman" w:eastAsia="Times New Roman"/>
          <w:b w:val="0"/>
          <w:i w:val="0"/>
          <w:color w:val="000000"/>
          <w:sz w:val="24"/>
        </w:rPr>
        <w:t>No human-subjects protocol was required for news text already published on the web. Relevance labels were produced by the authors under a written rubric (headline enough vs need the article). They are not two independent paid annotators. We say that in the limitations because a journal reader will ask.</w:t>
      </w:r>
    </w:p>
    <w:p>
      <w:pPr>
        <w:keepNext/>
        <w:spacing w:line="480" w:lineRule="auto" w:before="240" w:after="0"/>
        <w:ind w:firstLine="0"/>
      </w:pPr>
      <w:r>
        <w:rPr>
          <w:rFonts w:ascii="Times New Roman" w:hAnsi="Times New Roman" w:eastAsia="Times New Roman"/>
          <w:b/>
          <w:i/>
          <w:color w:val="000000"/>
          <w:sz w:val="24"/>
        </w:rPr>
        <w:t>Collection and indexes</w:t>
      </w:r>
    </w:p>
    <w:p>
      <w:pPr>
        <w:spacing w:line="480" w:lineRule="auto" w:after="0" w:before="0"/>
        <w:ind w:firstLine="720"/>
      </w:pPr>
      <w:r>
        <w:rPr>
          <w:rFonts w:ascii="Times New Roman" w:hAnsi="Times New Roman" w:eastAsia="Times New Roman"/>
          <w:b w:val="0"/>
          <w:i w:val="0"/>
          <w:color w:val="000000"/>
          <w:sz w:val="24"/>
        </w:rPr>
        <w:t>The corpus is the ULTRA news collection: 111,860 Urdu articles after cleaning, stored in ChromaDB collection urdu_news. That collection is the full-article room. The headline room is a separate dense index over titles, with embeddings cached for reuse. Both rooms use the same multilingual MiniLM encoder (paraphrase-multilingual-MiniLM-L12-v2) [9]. We did not retrain the encoder. If retrieval later fails, that is part of the result, not an excuse to swap models after seeing scores.</w:t>
      </w:r>
    </w:p>
    <w:p>
      <w:pPr>
        <w:spacing w:line="480" w:lineRule="auto" w:after="0" w:before="0"/>
        <w:ind w:firstLine="720"/>
      </w:pPr>
      <w:r>
        <w:rPr>
          <w:rFonts w:ascii="Times New Roman" w:hAnsi="Times New Roman" w:eastAsia="Times New Roman"/>
          <w:b w:val="0"/>
          <w:i w:val="0"/>
          <w:color w:val="000000"/>
          <w:sz w:val="24"/>
        </w:rPr>
        <w:t>Roman Urdu queries are mapped through a word list of 198 pairs on disk (older drafts said 179; the file on disk is 198). Unlisted tokens stay as typed. Native-script Urdu skips this step.</w:t>
      </w:r>
    </w:p>
    <w:p>
      <w:pPr>
        <w:keepNext/>
        <w:spacing w:line="480" w:lineRule="auto" w:before="240" w:after="0"/>
        <w:ind w:firstLine="0"/>
      </w:pPr>
      <w:r>
        <w:rPr>
          <w:rFonts w:ascii="Times New Roman" w:hAnsi="Times New Roman" w:eastAsia="Times New Roman"/>
          <w:b/>
          <w:i/>
          <w:color w:val="000000"/>
          <w:sz w:val="24"/>
        </w:rPr>
        <w:t>Router</w:t>
      </w:r>
    </w:p>
    <w:p>
      <w:pPr>
        <w:spacing w:line="480" w:lineRule="auto" w:after="0" w:before="0"/>
        <w:ind w:firstLine="720"/>
      </w:pPr>
      <w:r>
        <w:rPr>
          <w:rFonts w:ascii="Times New Roman" w:hAnsi="Times New Roman" w:eastAsia="Times New Roman"/>
          <w:b w:val="0"/>
          <w:i w:val="0"/>
          <w:color w:val="000000"/>
          <w:sz w:val="24"/>
        </w:rPr>
        <w:t>The frozen generalization model (Phase 3B V2) is an RBF-kernel SVM on eight features: Urdu-character ratio, Roman/Latin ratio, has-Urdu, has-Roman, token count, character count, mixed-script flag, and Urdu-character count. Features are z-scored with the training scaler. A later twelve-feature pickle exists in the deployed demo; we do not use it as the Phase 3B number, because that pickle saw extra trap-style training mass. Mixing those two models is how a 96% figure appears. We do not report 96%.</w:t>
      </w:r>
    </w:p>
    <w:p>
      <w:pPr>
        <w:spacing w:line="480" w:lineRule="auto" w:after="0" w:before="0"/>
        <w:ind w:firstLine="720"/>
      </w:pPr>
      <w:r>
        <w:rPr>
          <w:rFonts w:ascii="Times New Roman" w:hAnsi="Times New Roman" w:eastAsia="Times New Roman"/>
          <w:b w:val="0"/>
          <w:i w:val="0"/>
          <w:color w:val="000000"/>
          <w:sz w:val="24"/>
        </w:rPr>
        <w:t>Confidence is the SVM probability of the chosen class. HIGH is 85% or above: search only the chosen room. MEDIUM is 60% up to 85%: mix both rooms at equal weight. LOW is below 60%: expand the query slightly, then mix. The expansion path is implemented. On the live demo queries we used for defense, LOW did not fire. We do not pretend that it did.</w:t>
      </w:r>
    </w:p>
    <w:p>
      <w:pPr>
        <w:keepNext/>
        <w:spacing w:line="480" w:lineRule="auto" w:before="240" w:after="0"/>
        <w:ind w:firstLine="0"/>
      </w:pPr>
      <w:r>
        <w:rPr>
          <w:rFonts w:ascii="Times New Roman" w:hAnsi="Times New Roman" w:eastAsia="Times New Roman"/>
          <w:b/>
          <w:i/>
          <w:color w:val="000000"/>
          <w:sz w:val="24"/>
        </w:rPr>
        <w:t>What SHORT and LONG mean here</w:t>
      </w:r>
    </w:p>
    <w:p>
      <w:pPr>
        <w:spacing w:line="480" w:lineRule="auto" w:after="0" w:before="0"/>
        <w:ind w:firstLine="720"/>
      </w:pPr>
      <w:r>
        <w:rPr>
          <w:rFonts w:ascii="Times New Roman" w:hAnsi="Times New Roman" w:eastAsia="Times New Roman"/>
          <w:b w:val="0"/>
          <w:i w:val="0"/>
          <w:color w:val="000000"/>
          <w:sz w:val="24"/>
        </w:rPr>
        <w:t>Labels are not “is the string short.” SHORT means a competent headline could answer the user (score, price, date, who won, did the event happen). LONG means the user asked for why, how, impact, comparison, or a story. The 40 trap queries were written to that rule and then frozen. They were not used to train the V2 SVM.</w:t>
      </w:r>
    </w:p>
    <w:p>
      <w:pPr>
        <w:keepNext/>
        <w:spacing w:line="480" w:lineRule="auto" w:before="240" w:after="0"/>
        <w:ind w:firstLine="0"/>
      </w:pPr>
      <w:r>
        <w:rPr>
          <w:rFonts w:ascii="Times New Roman" w:hAnsi="Times New Roman" w:eastAsia="Times New Roman"/>
          <w:b/>
          <w:i/>
          <w:color w:val="000000"/>
          <w:sz w:val="24"/>
        </w:rPr>
        <w:t>Evaluation layers</w:t>
      </w:r>
    </w:p>
    <w:p>
      <w:pPr>
        <w:spacing w:line="480" w:lineRule="auto" w:after="0" w:before="0"/>
        <w:ind w:firstLine="720"/>
      </w:pPr>
      <w:r>
        <w:rPr>
          <w:rFonts w:ascii="Times New Roman" w:hAnsi="Times New Roman" w:eastAsia="Times New Roman"/>
          <w:b w:val="0"/>
          <w:i w:val="0"/>
          <w:color w:val="000000"/>
          <w:sz w:val="24"/>
        </w:rPr>
        <w:t>We keep three layers apart, because they answer different questions.</w:t>
      </w:r>
    </w:p>
    <w:p>
      <w:pPr>
        <w:spacing w:line="480" w:lineRule="auto" w:after="0" w:before="0"/>
        <w:ind w:firstLine="720"/>
      </w:pPr>
      <w:r>
        <w:rPr>
          <w:rFonts w:ascii="Times New Roman" w:hAnsi="Times New Roman" w:eastAsia="Times New Roman"/>
          <w:b w:val="0"/>
          <w:i w:val="0"/>
          <w:color w:val="000000"/>
          <w:sz w:val="24"/>
        </w:rPr>
        <w:t>Development and cross-validation show that the routing task is learnable. Some splits reach 100% against 50% for θ = 150. That is not a generalization claim. Anyone who has overfit a small Urdu query set knows how that 100% happens.</w:t>
      </w:r>
    </w:p>
    <w:p>
      <w:pPr>
        <w:spacing w:line="480" w:lineRule="auto" w:after="0" w:before="0"/>
        <w:ind w:firstLine="720"/>
      </w:pPr>
      <w:r>
        <w:rPr>
          <w:rFonts w:ascii="Times New Roman" w:hAnsi="Times New Roman" w:eastAsia="Times New Roman"/>
          <w:b w:val="0"/>
          <w:i w:val="0"/>
          <w:color w:val="000000"/>
          <w:sz w:val="24"/>
        </w:rPr>
        <w:t>Frozen Phase 3B uses 50 primary queries held out from V2 training (409 labeled queries in that training pool: 193 SHORT, 216 LONG). Gold labels were fixed before scoring. The word-count baseline (≥ 6 tokens → LONG) was also frozen.</w:t>
      </w:r>
    </w:p>
    <w:p>
      <w:pPr>
        <w:spacing w:line="480" w:lineRule="auto" w:after="0" w:before="0"/>
        <w:ind w:firstLine="720"/>
      </w:pPr>
      <w:r>
        <w:rPr>
          <w:rFonts w:ascii="Times New Roman" w:hAnsi="Times New Roman" w:eastAsia="Times New Roman"/>
          <w:b w:val="0"/>
          <w:i w:val="0"/>
          <w:color w:val="000000"/>
          <w:sz w:val="24"/>
        </w:rPr>
        <w:t>Frozen traps H001–H040 are 40 queries built so that length and need disagree, plus easy controls. Dual-index P@5 uses the same 40, depth 5, 400 graded judgments (0/1/2). A smaller earlier pilot (Phase 2.5, 33 queries) is reported only as supporting context.</w:t>
      </w:r>
    </w:p>
    <w:p>
      <w:pPr>
        <w:spacing w:line="480" w:lineRule="auto" w:after="0" w:before="0"/>
        <w:ind w:firstLine="720"/>
      </w:pPr>
      <w:r>
        <w:rPr>
          <w:rFonts w:ascii="Times New Roman" w:hAnsi="Times New Roman" w:eastAsia="Times New Roman"/>
          <w:b w:val="0"/>
          <w:i w:val="0"/>
          <w:color w:val="000000"/>
          <w:sz w:val="24"/>
        </w:rPr>
        <w:t>Classification accuracy, exact McNemar tests, P@5, and nDCG@5 are the metrics. We do not convert a non-significant McNemar p-value into a story about “comparable superiority.”</w:t>
      </w:r>
    </w:p>
    <w:p>
      <w:pPr>
        <w:keepNext/>
        <w:spacing w:line="480" w:lineRule="auto" w:before="240" w:after="0"/>
        <w:ind w:firstLine="0"/>
      </w:pPr>
      <w:r>
        <w:rPr>
          <w:rFonts w:ascii="Times New Roman" w:hAnsi="Times New Roman" w:eastAsia="Times New Roman"/>
          <w:b/>
          <w:i w:val="0"/>
          <w:color w:val="000000"/>
          <w:sz w:val="28"/>
        </w:rPr>
        <w:t>Results</w:t>
      </w:r>
    </w:p>
    <w:p>
      <w:pPr>
        <w:keepNext/>
        <w:spacing w:line="480" w:lineRule="auto" w:before="240" w:after="0"/>
        <w:ind w:firstLine="0"/>
      </w:pPr>
      <w:r>
        <w:rPr>
          <w:rFonts w:ascii="Times New Roman" w:hAnsi="Times New Roman" w:eastAsia="Times New Roman"/>
          <w:b/>
          <w:i/>
          <w:color w:val="000000"/>
          <w:sz w:val="24"/>
        </w:rPr>
        <w:t>Phase 3B: the SVM is barely ahead of counting words</w:t>
      </w:r>
    </w:p>
    <w:p>
      <w:pPr>
        <w:spacing w:line="480" w:lineRule="auto" w:after="0" w:before="0"/>
        <w:ind w:firstLine="720"/>
      </w:pPr>
      <w:r>
        <w:rPr>
          <w:rFonts w:ascii="Times New Roman" w:hAnsi="Times New Roman" w:eastAsia="Times New Roman"/>
          <w:b w:val="0"/>
          <w:i w:val="0"/>
          <w:color w:val="000000"/>
          <w:sz w:val="24"/>
        </w:rPr>
        <w:t>On the 50 primary queries the V2 SVM was correct on 43 (86%). Word count was correct on 42 (84%). The McNemar table is 2 vs 1 discordant pairs, exact p = 1.0. If this were the only experiment in the paper, we would not have much to say. It is useful mainly as a check that the frozen extractor matches the model that was actually trained.</w:t>
      </w:r>
    </w:p>
    <w:p>
      <w:pPr>
        <w:keepNext/>
        <w:spacing w:line="480" w:lineRule="auto" w:before="240" w:after="0"/>
        <w:ind w:firstLine="0"/>
      </w:pPr>
      <w:r>
        <w:rPr>
          <w:rFonts w:ascii="Times New Roman" w:hAnsi="Times New Roman" w:eastAsia="Times New Roman"/>
          <w:b/>
          <w:i/>
          <w:color w:val="000000"/>
          <w:sz w:val="24"/>
        </w:rPr>
        <w:t>Trap queries: a real classification gap, with a catch</w:t>
      </w:r>
    </w:p>
    <w:p>
      <w:pPr>
        <w:spacing w:line="480" w:lineRule="auto" w:after="0" w:before="0"/>
        <w:ind w:firstLine="720"/>
      </w:pPr>
      <w:r>
        <w:rPr>
          <w:rFonts w:ascii="Times New Roman" w:hAnsi="Times New Roman" w:eastAsia="Times New Roman"/>
          <w:b w:val="0"/>
          <w:i w:val="0"/>
          <w:color w:val="000000"/>
          <w:sz w:val="24"/>
        </w:rPr>
        <w:t>On H001–H040 the SVM reached 60%, word count 20%, and θ = 150 50%. McNemar against word count is 16–0, p &lt; 0.001. That is the result we would put on a slide if we were being careless.</w:t>
      </w:r>
    </w:p>
    <w:p>
      <w:pPr>
        <w:spacing w:line="480" w:lineRule="auto" w:after="0" w:before="0"/>
        <w:ind w:firstLine="720"/>
      </w:pPr>
      <w:r>
        <w:rPr>
          <w:rFonts w:ascii="Times New Roman" w:hAnsi="Times New Roman" w:eastAsia="Times New Roman"/>
          <w:b w:val="0"/>
          <w:i w:val="0"/>
          <w:color w:val="000000"/>
          <w:sz w:val="24"/>
        </w:rPr>
        <w:t>The cue split is the part that should stay on the slide. Eighteen queries fire why/how/fact features. The SVM got 18/18; word count got 2/18. The other 22 queries do not fire those cues. Both systems sit at 27.27%. So the trap win is not “the SVM understands retrieval need.” It is “the SVM notices certain words, and the traps were rich in those words.”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line="240" w:lineRule="auto"/>
            </w:pPr>
            <w:r/>
            <w:r>
              <w:rPr>
                <w:rFonts w:ascii="Times New Roman" w:hAnsi="Times New Roman" w:eastAsia="Times New Roman"/>
                <w:b/>
                <w:i w:val="0"/>
                <w:color w:val="000000"/>
                <w:sz w:val="20"/>
              </w:rPr>
              <w:t>Layer</w:t>
            </w:r>
          </w:p>
        </w:tc>
        <w:tc>
          <w:tcPr>
            <w:tcW w:type="dxa" w:w="1872"/>
          </w:tcPr>
          <w:p>
            <w:pPr>
              <w:spacing w:line="240" w:lineRule="auto"/>
            </w:pPr>
            <w:r/>
            <w:r>
              <w:rPr>
                <w:rFonts w:ascii="Times New Roman" w:hAnsi="Times New Roman" w:eastAsia="Times New Roman"/>
                <w:b/>
                <w:i w:val="0"/>
                <w:color w:val="000000"/>
                <w:sz w:val="20"/>
              </w:rPr>
              <w:t>n</w:t>
            </w:r>
          </w:p>
        </w:tc>
        <w:tc>
          <w:tcPr>
            <w:tcW w:type="dxa" w:w="1872"/>
          </w:tcPr>
          <w:p>
            <w:pPr>
              <w:spacing w:line="240" w:lineRule="auto"/>
            </w:pPr>
            <w:r/>
            <w:r>
              <w:rPr>
                <w:rFonts w:ascii="Times New Roman" w:hAnsi="Times New Roman" w:eastAsia="Times New Roman"/>
                <w:b/>
                <w:i w:val="0"/>
                <w:color w:val="000000"/>
                <w:sz w:val="20"/>
              </w:rPr>
              <w:t>SVM</w:t>
            </w:r>
          </w:p>
        </w:tc>
        <w:tc>
          <w:tcPr>
            <w:tcW w:type="dxa" w:w="1872"/>
          </w:tcPr>
          <w:p>
            <w:pPr>
              <w:spacing w:line="240" w:lineRule="auto"/>
            </w:pPr>
            <w:r/>
            <w:r>
              <w:rPr>
                <w:rFonts w:ascii="Times New Roman" w:hAnsi="Times New Roman" w:eastAsia="Times New Roman"/>
                <w:b/>
                <w:i w:val="0"/>
                <w:color w:val="000000"/>
                <w:sz w:val="20"/>
              </w:rPr>
              <w:t>Word count ≥ 6</w:t>
            </w:r>
          </w:p>
        </w:tc>
        <w:tc>
          <w:tcPr>
            <w:tcW w:type="dxa" w:w="1872"/>
          </w:tcPr>
          <w:p>
            <w:pPr>
              <w:spacing w:line="240" w:lineRule="auto"/>
            </w:pPr>
            <w:r/>
            <w:r>
              <w:rPr>
                <w:rFonts w:ascii="Times New Roman" w:hAnsi="Times New Roman" w:eastAsia="Times New Roman"/>
                <w:b/>
                <w:i w:val="0"/>
                <w:color w:val="000000"/>
                <w:sz w:val="20"/>
              </w:rPr>
              <w:t>θ = 150</w:t>
            </w:r>
          </w:p>
        </w:tc>
      </w:tr>
      <w:tr>
        <w:tc>
          <w:tcPr>
            <w:tcW w:type="dxa" w:w="1872"/>
          </w:tcPr>
          <w:p>
            <w:pPr>
              <w:spacing w:line="240" w:lineRule="auto"/>
            </w:pPr>
            <w:r/>
            <w:r>
              <w:rPr>
                <w:rFonts w:ascii="Times New Roman" w:hAnsi="Times New Roman" w:eastAsia="Times New Roman"/>
                <w:b w:val="0"/>
                <w:i w:val="0"/>
                <w:color w:val="000000"/>
                <w:sz w:val="20"/>
              </w:rPr>
              <w:t>Development / CV (learnability only)</w:t>
            </w:r>
          </w:p>
        </w:tc>
        <w:tc>
          <w:tcPr>
            <w:tcW w:type="dxa" w:w="1872"/>
          </w:tcPr>
          <w:p>
            <w:pPr>
              <w:spacing w:line="240" w:lineRule="auto"/>
            </w:pPr>
            <w:r/>
            <w:r>
              <w:rPr>
                <w:rFonts w:ascii="Times New Roman" w:hAnsi="Times New Roman" w:eastAsia="Times New Roman"/>
                <w:b w:val="0"/>
                <w:i w:val="0"/>
                <w:color w:val="000000"/>
                <w:sz w:val="20"/>
              </w:rPr>
              <w:t>varies</w:t>
            </w:r>
          </w:p>
        </w:tc>
        <w:tc>
          <w:tcPr>
            <w:tcW w:type="dxa" w:w="1872"/>
          </w:tcPr>
          <w:p>
            <w:pPr>
              <w:spacing w:line="240" w:lineRule="auto"/>
            </w:pPr>
            <w:r/>
            <w:r>
              <w:rPr>
                <w:rFonts w:ascii="Times New Roman" w:hAnsi="Times New Roman" w:eastAsia="Times New Roman"/>
                <w:b w:val="0"/>
                <w:i w:val="0"/>
                <w:color w:val="000000"/>
                <w:sz w:val="20"/>
              </w:rPr>
              <w:t>100% on some splits</w:t>
            </w:r>
          </w:p>
        </w:tc>
        <w:tc>
          <w:tcPr>
            <w:tcW w:type="dxa" w:w="1872"/>
          </w:tcPr>
          <w:p>
            <w:pPr>
              <w:spacing w:line="240" w:lineRule="auto"/>
            </w:pPr>
            <w:r/>
            <w:r>
              <w:rPr>
                <w:rFonts w:ascii="Times New Roman" w:hAnsi="Times New Roman" w:eastAsia="Times New Roman"/>
                <w:b w:val="0"/>
                <w:i w:val="0"/>
                <w:color w:val="000000"/>
                <w:sz w:val="20"/>
              </w:rPr>
              <w:t>—</w:t>
            </w:r>
          </w:p>
        </w:tc>
        <w:tc>
          <w:tcPr>
            <w:tcW w:type="dxa" w:w="1872"/>
          </w:tcPr>
          <w:p>
            <w:pPr>
              <w:spacing w:line="240" w:lineRule="auto"/>
            </w:pPr>
            <w:r/>
            <w:r>
              <w:rPr>
                <w:rFonts w:ascii="Times New Roman" w:hAnsi="Times New Roman" w:eastAsia="Times New Roman"/>
                <w:b w:val="0"/>
                <w:i w:val="0"/>
                <w:color w:val="000000"/>
                <w:sz w:val="20"/>
              </w:rPr>
              <w:t>50%</w:t>
            </w:r>
          </w:p>
        </w:tc>
      </w:tr>
      <w:tr>
        <w:tc>
          <w:tcPr>
            <w:tcW w:type="dxa" w:w="1872"/>
          </w:tcPr>
          <w:p>
            <w:pPr>
              <w:spacing w:line="240" w:lineRule="auto"/>
            </w:pPr>
            <w:r/>
            <w:r>
              <w:rPr>
                <w:rFonts w:ascii="Times New Roman" w:hAnsi="Times New Roman" w:eastAsia="Times New Roman"/>
                <w:b w:val="0"/>
                <w:i w:val="0"/>
                <w:color w:val="000000"/>
                <w:sz w:val="20"/>
              </w:rPr>
              <w:t>Frozen Phase 3B (V2, 8 features)</w:t>
            </w:r>
          </w:p>
        </w:tc>
        <w:tc>
          <w:tcPr>
            <w:tcW w:type="dxa" w:w="1872"/>
          </w:tcPr>
          <w:p>
            <w:pPr>
              <w:spacing w:line="240" w:lineRule="auto"/>
            </w:pPr>
            <w:r/>
            <w:r>
              <w:rPr>
                <w:rFonts w:ascii="Times New Roman" w:hAnsi="Times New Roman" w:eastAsia="Times New Roman"/>
                <w:b w:val="0"/>
                <w:i w:val="0"/>
                <w:color w:val="000000"/>
                <w:sz w:val="20"/>
              </w:rPr>
              <w:t>50</w:t>
            </w:r>
          </w:p>
        </w:tc>
        <w:tc>
          <w:tcPr>
            <w:tcW w:type="dxa" w:w="1872"/>
          </w:tcPr>
          <w:p>
            <w:pPr>
              <w:spacing w:line="240" w:lineRule="auto"/>
            </w:pPr>
            <w:r/>
            <w:r>
              <w:rPr>
                <w:rFonts w:ascii="Times New Roman" w:hAnsi="Times New Roman" w:eastAsia="Times New Roman"/>
                <w:b w:val="0"/>
                <w:i w:val="0"/>
                <w:color w:val="000000"/>
                <w:sz w:val="20"/>
              </w:rPr>
              <w:t>86% (43/50)</w:t>
            </w:r>
          </w:p>
        </w:tc>
        <w:tc>
          <w:tcPr>
            <w:tcW w:type="dxa" w:w="1872"/>
          </w:tcPr>
          <w:p>
            <w:pPr>
              <w:spacing w:line="240" w:lineRule="auto"/>
            </w:pPr>
            <w:r/>
            <w:r>
              <w:rPr>
                <w:rFonts w:ascii="Times New Roman" w:hAnsi="Times New Roman" w:eastAsia="Times New Roman"/>
                <w:b w:val="0"/>
                <w:i w:val="0"/>
                <w:color w:val="000000"/>
                <w:sz w:val="20"/>
              </w:rPr>
              <w:t>84% (42/50)</w:t>
            </w:r>
          </w:p>
        </w:tc>
        <w:tc>
          <w:tcPr>
            <w:tcW w:type="dxa" w:w="1872"/>
          </w:tcPr>
          <w:p>
            <w:pPr>
              <w:spacing w:line="240" w:lineRule="auto"/>
            </w:pPr>
            <w:r/>
            <w:r>
              <w:rPr>
                <w:rFonts w:ascii="Times New Roman" w:hAnsi="Times New Roman" w:eastAsia="Times New Roman"/>
                <w:b w:val="0"/>
                <w:i w:val="0"/>
                <w:color w:val="000000"/>
                <w:sz w:val="20"/>
              </w:rPr>
              <w:t>—</w:t>
            </w:r>
          </w:p>
        </w:tc>
      </w:tr>
      <w:tr>
        <w:tc>
          <w:tcPr>
            <w:tcW w:type="dxa" w:w="1872"/>
          </w:tcPr>
          <w:p>
            <w:pPr>
              <w:spacing w:line="240" w:lineRule="auto"/>
            </w:pPr>
            <w:r/>
            <w:r>
              <w:rPr>
                <w:rFonts w:ascii="Times New Roman" w:hAnsi="Times New Roman" w:eastAsia="Times New Roman"/>
                <w:b w:val="0"/>
                <w:i w:val="0"/>
                <w:color w:val="000000"/>
                <w:sz w:val="20"/>
              </w:rPr>
              <w:t>Frozen traps H001–H040</w:t>
            </w:r>
          </w:p>
        </w:tc>
        <w:tc>
          <w:tcPr>
            <w:tcW w:type="dxa" w:w="1872"/>
          </w:tcPr>
          <w:p>
            <w:pPr>
              <w:spacing w:line="240" w:lineRule="auto"/>
            </w:pPr>
            <w:r/>
            <w:r>
              <w:rPr>
                <w:rFonts w:ascii="Times New Roman" w:hAnsi="Times New Roman" w:eastAsia="Times New Roman"/>
                <w:b w:val="0"/>
                <w:i w:val="0"/>
                <w:color w:val="000000"/>
                <w:sz w:val="20"/>
              </w:rPr>
              <w:t>40</w:t>
            </w:r>
          </w:p>
        </w:tc>
        <w:tc>
          <w:tcPr>
            <w:tcW w:type="dxa" w:w="1872"/>
          </w:tcPr>
          <w:p>
            <w:pPr>
              <w:spacing w:line="240" w:lineRule="auto"/>
            </w:pPr>
            <w:r/>
            <w:r>
              <w:rPr>
                <w:rFonts w:ascii="Times New Roman" w:hAnsi="Times New Roman" w:eastAsia="Times New Roman"/>
                <w:b w:val="0"/>
                <w:i w:val="0"/>
                <w:color w:val="000000"/>
                <w:sz w:val="20"/>
              </w:rPr>
              <w:t>60%</w:t>
            </w:r>
          </w:p>
        </w:tc>
        <w:tc>
          <w:tcPr>
            <w:tcW w:type="dxa" w:w="1872"/>
          </w:tcPr>
          <w:p>
            <w:pPr>
              <w:spacing w:line="240" w:lineRule="auto"/>
            </w:pPr>
            <w:r/>
            <w:r>
              <w:rPr>
                <w:rFonts w:ascii="Times New Roman" w:hAnsi="Times New Roman" w:eastAsia="Times New Roman"/>
                <w:b w:val="0"/>
                <w:i w:val="0"/>
                <w:color w:val="000000"/>
                <w:sz w:val="20"/>
              </w:rPr>
              <w:t>20%</w:t>
            </w:r>
          </w:p>
        </w:tc>
        <w:tc>
          <w:tcPr>
            <w:tcW w:type="dxa" w:w="1872"/>
          </w:tcPr>
          <w:p>
            <w:pPr>
              <w:spacing w:line="240" w:lineRule="auto"/>
            </w:pPr>
            <w:r/>
            <w:r>
              <w:rPr>
                <w:rFonts w:ascii="Times New Roman" w:hAnsi="Times New Roman" w:eastAsia="Times New Roman"/>
                <w:b w:val="0"/>
                <w:i w:val="0"/>
                <w:color w:val="000000"/>
                <w:sz w:val="20"/>
              </w:rPr>
              <w:t>50%</w:t>
            </w:r>
          </w:p>
        </w:tc>
      </w:tr>
      <w:tr>
        <w:tc>
          <w:tcPr>
            <w:tcW w:type="dxa" w:w="1872"/>
          </w:tcPr>
          <w:p>
            <w:pPr>
              <w:spacing w:line="240" w:lineRule="auto"/>
            </w:pPr>
            <w:r/>
            <w:r>
              <w:rPr>
                <w:rFonts w:ascii="Times New Roman" w:hAnsi="Times New Roman" w:eastAsia="Times New Roman"/>
                <w:b w:val="0"/>
                <w:i w:val="0"/>
                <w:color w:val="000000"/>
                <w:sz w:val="20"/>
              </w:rPr>
              <w:t>Traps with why/how/fact cue</w:t>
            </w:r>
          </w:p>
        </w:tc>
        <w:tc>
          <w:tcPr>
            <w:tcW w:type="dxa" w:w="1872"/>
          </w:tcPr>
          <w:p>
            <w:pPr>
              <w:spacing w:line="240" w:lineRule="auto"/>
            </w:pPr>
            <w:r/>
            <w:r>
              <w:rPr>
                <w:rFonts w:ascii="Times New Roman" w:hAnsi="Times New Roman" w:eastAsia="Times New Roman"/>
                <w:b w:val="0"/>
                <w:i w:val="0"/>
                <w:color w:val="000000"/>
                <w:sz w:val="20"/>
              </w:rPr>
              <w:t>18</w:t>
            </w:r>
          </w:p>
        </w:tc>
        <w:tc>
          <w:tcPr>
            <w:tcW w:type="dxa" w:w="1872"/>
          </w:tcPr>
          <w:p>
            <w:pPr>
              <w:spacing w:line="240" w:lineRule="auto"/>
            </w:pPr>
            <w:r/>
            <w:r>
              <w:rPr>
                <w:rFonts w:ascii="Times New Roman" w:hAnsi="Times New Roman" w:eastAsia="Times New Roman"/>
                <w:b w:val="0"/>
                <w:i w:val="0"/>
                <w:color w:val="000000"/>
                <w:sz w:val="20"/>
              </w:rPr>
              <w:t>100% (18/18)</w:t>
            </w:r>
          </w:p>
        </w:tc>
        <w:tc>
          <w:tcPr>
            <w:tcW w:type="dxa" w:w="1872"/>
          </w:tcPr>
          <w:p>
            <w:pPr>
              <w:spacing w:line="240" w:lineRule="auto"/>
            </w:pPr>
            <w:r/>
            <w:r>
              <w:rPr>
                <w:rFonts w:ascii="Times New Roman" w:hAnsi="Times New Roman" w:eastAsia="Times New Roman"/>
                <w:b w:val="0"/>
                <w:i w:val="0"/>
                <w:color w:val="000000"/>
                <w:sz w:val="20"/>
              </w:rPr>
              <w:t>11.11% (2/18)</w:t>
            </w:r>
          </w:p>
        </w:tc>
        <w:tc>
          <w:tcPr>
            <w:tcW w:type="dxa" w:w="1872"/>
          </w:tcPr>
          <w:p>
            <w:pPr>
              <w:spacing w:line="240" w:lineRule="auto"/>
            </w:pPr>
            <w:r/>
            <w:r>
              <w:rPr>
                <w:rFonts w:ascii="Times New Roman" w:hAnsi="Times New Roman" w:eastAsia="Times New Roman"/>
                <w:b w:val="0"/>
                <w:i w:val="0"/>
                <w:color w:val="000000"/>
                <w:sz w:val="20"/>
              </w:rPr>
              <w:t>—</w:t>
            </w:r>
          </w:p>
        </w:tc>
      </w:tr>
      <w:tr>
        <w:tc>
          <w:tcPr>
            <w:tcW w:type="dxa" w:w="1872"/>
          </w:tcPr>
          <w:p>
            <w:pPr>
              <w:spacing w:line="240" w:lineRule="auto"/>
            </w:pPr>
            <w:r/>
            <w:r>
              <w:rPr>
                <w:rFonts w:ascii="Times New Roman" w:hAnsi="Times New Roman" w:eastAsia="Times New Roman"/>
                <w:b w:val="0"/>
                <w:i w:val="0"/>
                <w:color w:val="000000"/>
                <w:sz w:val="20"/>
              </w:rPr>
              <w:t>Traps with no cue</w:t>
            </w:r>
          </w:p>
        </w:tc>
        <w:tc>
          <w:tcPr>
            <w:tcW w:type="dxa" w:w="1872"/>
          </w:tcPr>
          <w:p>
            <w:pPr>
              <w:spacing w:line="240" w:lineRule="auto"/>
            </w:pPr>
            <w:r/>
            <w:r>
              <w:rPr>
                <w:rFonts w:ascii="Times New Roman" w:hAnsi="Times New Roman" w:eastAsia="Times New Roman"/>
                <w:b w:val="0"/>
                <w:i w:val="0"/>
                <w:color w:val="000000"/>
                <w:sz w:val="20"/>
              </w:rPr>
              <w:t>22</w:t>
            </w:r>
          </w:p>
        </w:tc>
        <w:tc>
          <w:tcPr>
            <w:tcW w:type="dxa" w:w="1872"/>
          </w:tcPr>
          <w:p>
            <w:pPr>
              <w:spacing w:line="240" w:lineRule="auto"/>
            </w:pPr>
            <w:r/>
            <w:r>
              <w:rPr>
                <w:rFonts w:ascii="Times New Roman" w:hAnsi="Times New Roman" w:eastAsia="Times New Roman"/>
                <w:b w:val="0"/>
                <w:i w:val="0"/>
                <w:color w:val="000000"/>
                <w:sz w:val="20"/>
              </w:rPr>
              <w:t>27.27%</w:t>
            </w:r>
          </w:p>
        </w:tc>
        <w:tc>
          <w:tcPr>
            <w:tcW w:type="dxa" w:w="1872"/>
          </w:tcPr>
          <w:p>
            <w:pPr>
              <w:spacing w:line="240" w:lineRule="auto"/>
            </w:pPr>
            <w:r/>
            <w:r>
              <w:rPr>
                <w:rFonts w:ascii="Times New Roman" w:hAnsi="Times New Roman" w:eastAsia="Times New Roman"/>
                <w:b w:val="0"/>
                <w:i w:val="0"/>
                <w:color w:val="000000"/>
                <w:sz w:val="20"/>
              </w:rPr>
              <w:t>27.27%</w:t>
            </w:r>
          </w:p>
        </w:tc>
        <w:tc>
          <w:tcPr>
            <w:tcW w:type="dxa" w:w="1872"/>
          </w:tcPr>
          <w:p>
            <w:pPr>
              <w:spacing w:line="240" w:lineRule="auto"/>
            </w:pPr>
            <w:r/>
            <w:r>
              <w:rPr>
                <w:rFonts w:ascii="Times New Roman" w:hAnsi="Times New Roman" w:eastAsia="Times New Roman"/>
                <w:b w:val="0"/>
                <w:i w:val="0"/>
                <w:color w:val="000000"/>
                <w:sz w:val="20"/>
              </w:rPr>
              <w:t>—</w:t>
            </w:r>
          </w:p>
        </w:tc>
      </w:tr>
    </w:tbl>
    <w:p>
      <w:pPr>
        <w:spacing w:line="480" w:lineRule="auto"/>
      </w:pPr>
    </w:p>
    <w:p>
      <w:pPr>
        <w:spacing w:line="480" w:lineRule="auto" w:before="120" w:after="240"/>
        <w:ind w:firstLine="0"/>
      </w:pPr>
      <w:r>
        <w:rPr>
          <w:rFonts w:ascii="Times New Roman" w:hAnsi="Times New Roman" w:eastAsia="Times New Roman"/>
          <w:b w:val="0"/>
          <w:i/>
          <w:color w:val="000000"/>
          <w:sz w:val="22"/>
        </w:rPr>
        <w:t>Table 1. Classification accuracy by evaluation layer. Development/CV is not a generalization result. Phase 3B McNemar p = 1.0. Trap McNemar vs word count: 16–0, p &lt; 0.001.</w:t>
      </w:r>
    </w:p>
    <w:p>
      <w:pPr>
        <w:keepNext/>
        <w:spacing w:line="480" w:lineRule="auto" w:before="240" w:after="0"/>
        <w:ind w:firstLine="0"/>
      </w:pPr>
      <w:r>
        <w:rPr>
          <w:rFonts w:ascii="Times New Roman" w:hAnsi="Times New Roman" w:eastAsia="Times New Roman"/>
          <w:b/>
          <w:i/>
          <w:color w:val="000000"/>
          <w:sz w:val="24"/>
        </w:rPr>
        <w:t>Retrieval: the classification win does not transfer</w:t>
      </w:r>
    </w:p>
    <w:p>
      <w:pPr>
        <w:spacing w:line="480" w:lineRule="auto" w:after="0" w:before="0"/>
        <w:ind w:firstLine="720"/>
      </w:pPr>
      <w:r>
        <w:rPr>
          <w:rFonts w:ascii="Times New Roman" w:hAnsi="Times New Roman" w:eastAsia="Times New Roman"/>
          <w:b w:val="0"/>
          <w:i w:val="0"/>
          <w:color w:val="000000"/>
          <w:sz w:val="24"/>
        </w:rPr>
        <w:t>Table 2 is the number that almost got edited out of an early draft. On the same 40 queries, with two indexes live, word count had the best P@5 (36.50%). Always-headline and θ = 150 tied at 35.00% (every query was SHORT under the character rule). Always-full-article was 34.25%. The SVM was last at 33.00%. nDCG@5 ranked always-headline first (0.6868), then word count (0.6476), SVM (0.6149), always-full (0.6020).</w:t>
      </w:r>
    </w:p>
    <w:p>
      <w:pPr>
        <w:spacing w:line="480" w:lineRule="auto" w:after="0" w:before="0"/>
        <w:ind w:firstLine="720"/>
      </w:pPr>
      <w:r>
        <w:rPr>
          <w:rFonts w:ascii="Times New Roman" w:hAnsi="Times New Roman" w:eastAsia="Times New Roman"/>
          <w:b w:val="0"/>
          <w:i w:val="0"/>
          <w:color w:val="000000"/>
          <w:sz w:val="24"/>
        </w:rPr>
        <w:t>A smaller dual-index pilot on 33 judged queries (Phase 2.5) had a tiny SVM edge at P@5 (35.76% vs 35.15% word count vs 32.73% for θ = 150). Depth stopped at 5. We do not stack that pilot on top of the frozen 40 to invent a retrieval win.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line="240" w:lineRule="auto"/>
            </w:pPr>
            <w:r/>
            <w:r>
              <w:rPr>
                <w:rFonts w:ascii="Times New Roman" w:hAnsi="Times New Roman" w:eastAsia="Times New Roman"/>
                <w:b/>
                <w:i w:val="0"/>
                <w:color w:val="000000"/>
                <w:sz w:val="20"/>
              </w:rPr>
              <w:t>Router</w:t>
            </w:r>
          </w:p>
        </w:tc>
        <w:tc>
          <w:tcPr>
            <w:tcW w:type="dxa" w:w="1872"/>
          </w:tcPr>
          <w:p>
            <w:pPr>
              <w:spacing w:line="240" w:lineRule="auto"/>
            </w:pPr>
            <w:r/>
            <w:r>
              <w:rPr>
                <w:rFonts w:ascii="Times New Roman" w:hAnsi="Times New Roman" w:eastAsia="Times New Roman"/>
                <w:b/>
                <w:i w:val="0"/>
                <w:color w:val="000000"/>
                <w:sz w:val="20"/>
              </w:rPr>
              <w:t>P@5</w:t>
            </w:r>
          </w:p>
        </w:tc>
        <w:tc>
          <w:tcPr>
            <w:tcW w:type="dxa" w:w="1872"/>
          </w:tcPr>
          <w:p>
            <w:pPr>
              <w:spacing w:line="240" w:lineRule="auto"/>
            </w:pPr>
            <w:r/>
            <w:r>
              <w:rPr>
                <w:rFonts w:ascii="Times New Roman" w:hAnsi="Times New Roman" w:eastAsia="Times New Roman"/>
                <w:b/>
                <w:i w:val="0"/>
                <w:color w:val="000000"/>
                <w:sz w:val="20"/>
              </w:rPr>
              <w:t>nDCG@5</w:t>
            </w:r>
          </w:p>
        </w:tc>
        <w:tc>
          <w:tcPr>
            <w:tcW w:type="dxa" w:w="1872"/>
          </w:tcPr>
          <w:p>
            <w:pPr>
              <w:spacing w:line="240" w:lineRule="auto"/>
            </w:pPr>
            <w:r/>
            <w:r>
              <w:rPr>
                <w:rFonts w:ascii="Times New Roman" w:hAnsi="Times New Roman" w:eastAsia="Times New Roman"/>
                <w:b/>
                <w:i w:val="0"/>
                <w:color w:val="000000"/>
                <w:sz w:val="20"/>
              </w:rPr>
              <w:t>Queries → headline</w:t>
            </w:r>
          </w:p>
        </w:tc>
        <w:tc>
          <w:tcPr>
            <w:tcW w:type="dxa" w:w="1872"/>
          </w:tcPr>
          <w:p>
            <w:pPr>
              <w:spacing w:line="240" w:lineRule="auto"/>
            </w:pPr>
            <w:r/>
            <w:r>
              <w:rPr>
                <w:rFonts w:ascii="Times New Roman" w:hAnsi="Times New Roman" w:eastAsia="Times New Roman"/>
                <w:b/>
                <w:i w:val="0"/>
                <w:color w:val="000000"/>
                <w:sz w:val="20"/>
              </w:rPr>
              <w:t>Queries → full article</w:t>
            </w:r>
          </w:p>
        </w:tc>
      </w:tr>
      <w:tr>
        <w:tc>
          <w:tcPr>
            <w:tcW w:type="dxa" w:w="1872"/>
          </w:tcPr>
          <w:p>
            <w:pPr>
              <w:spacing w:line="240" w:lineRule="auto"/>
            </w:pPr>
            <w:r/>
            <w:r>
              <w:rPr>
                <w:rFonts w:ascii="Times New Roman" w:hAnsi="Times New Roman" w:eastAsia="Times New Roman"/>
                <w:b w:val="0"/>
                <w:i w:val="0"/>
                <w:color w:val="000000"/>
                <w:sz w:val="20"/>
              </w:rPr>
              <w:t>Word count ≥ 6</w:t>
            </w:r>
          </w:p>
        </w:tc>
        <w:tc>
          <w:tcPr>
            <w:tcW w:type="dxa" w:w="1872"/>
          </w:tcPr>
          <w:p>
            <w:pPr>
              <w:spacing w:line="240" w:lineRule="auto"/>
            </w:pPr>
            <w:r/>
            <w:r>
              <w:rPr>
                <w:rFonts w:ascii="Times New Roman" w:hAnsi="Times New Roman" w:eastAsia="Times New Roman"/>
                <w:b w:val="0"/>
                <w:i w:val="0"/>
                <w:color w:val="000000"/>
                <w:sz w:val="20"/>
              </w:rPr>
              <w:t>36.50%</w:t>
            </w:r>
          </w:p>
        </w:tc>
        <w:tc>
          <w:tcPr>
            <w:tcW w:type="dxa" w:w="1872"/>
          </w:tcPr>
          <w:p>
            <w:pPr>
              <w:spacing w:line="240" w:lineRule="auto"/>
            </w:pPr>
            <w:r/>
            <w:r>
              <w:rPr>
                <w:rFonts w:ascii="Times New Roman" w:hAnsi="Times New Roman" w:eastAsia="Times New Roman"/>
                <w:b w:val="0"/>
                <w:i w:val="0"/>
                <w:color w:val="000000"/>
                <w:sz w:val="20"/>
              </w:rPr>
              <w:t>0.6476</w:t>
            </w:r>
          </w:p>
        </w:tc>
        <w:tc>
          <w:tcPr>
            <w:tcW w:type="dxa" w:w="1872"/>
          </w:tcPr>
          <w:p>
            <w:pPr>
              <w:spacing w:line="240" w:lineRule="auto"/>
            </w:pPr>
            <w:r/>
            <w:r>
              <w:rPr>
                <w:rFonts w:ascii="Times New Roman" w:hAnsi="Times New Roman" w:eastAsia="Times New Roman"/>
                <w:b w:val="0"/>
                <w:i w:val="0"/>
                <w:color w:val="000000"/>
                <w:sz w:val="20"/>
              </w:rPr>
              <w:t>20</w:t>
            </w:r>
          </w:p>
        </w:tc>
        <w:tc>
          <w:tcPr>
            <w:tcW w:type="dxa" w:w="1872"/>
          </w:tcPr>
          <w:p>
            <w:pPr>
              <w:spacing w:line="240" w:lineRule="auto"/>
            </w:pPr>
            <w:r/>
            <w:r>
              <w:rPr>
                <w:rFonts w:ascii="Times New Roman" w:hAnsi="Times New Roman" w:eastAsia="Times New Roman"/>
                <w:b w:val="0"/>
                <w:i w:val="0"/>
                <w:color w:val="000000"/>
                <w:sz w:val="20"/>
              </w:rPr>
              <w:t>20</w:t>
            </w:r>
          </w:p>
        </w:tc>
      </w:tr>
      <w:tr>
        <w:tc>
          <w:tcPr>
            <w:tcW w:type="dxa" w:w="1872"/>
          </w:tcPr>
          <w:p>
            <w:pPr>
              <w:spacing w:line="240" w:lineRule="auto"/>
            </w:pPr>
            <w:r/>
            <w:r>
              <w:rPr>
                <w:rFonts w:ascii="Times New Roman" w:hAnsi="Times New Roman" w:eastAsia="Times New Roman"/>
                <w:b w:val="0"/>
                <w:i w:val="0"/>
                <w:color w:val="000000"/>
                <w:sz w:val="20"/>
              </w:rPr>
              <w:t>Always headline / θ = 150</w:t>
            </w:r>
          </w:p>
        </w:tc>
        <w:tc>
          <w:tcPr>
            <w:tcW w:type="dxa" w:w="1872"/>
          </w:tcPr>
          <w:p>
            <w:pPr>
              <w:spacing w:line="240" w:lineRule="auto"/>
            </w:pPr>
            <w:r/>
            <w:r>
              <w:rPr>
                <w:rFonts w:ascii="Times New Roman" w:hAnsi="Times New Roman" w:eastAsia="Times New Roman"/>
                <w:b w:val="0"/>
                <w:i w:val="0"/>
                <w:color w:val="000000"/>
                <w:sz w:val="20"/>
              </w:rPr>
              <w:t>35.00%</w:t>
            </w:r>
          </w:p>
        </w:tc>
        <w:tc>
          <w:tcPr>
            <w:tcW w:type="dxa" w:w="1872"/>
          </w:tcPr>
          <w:p>
            <w:pPr>
              <w:spacing w:line="240" w:lineRule="auto"/>
            </w:pPr>
            <w:r/>
            <w:r>
              <w:rPr>
                <w:rFonts w:ascii="Times New Roman" w:hAnsi="Times New Roman" w:eastAsia="Times New Roman"/>
                <w:b w:val="0"/>
                <w:i w:val="0"/>
                <w:color w:val="000000"/>
                <w:sz w:val="20"/>
              </w:rPr>
              <w:t>0.6868</w:t>
            </w:r>
          </w:p>
        </w:tc>
        <w:tc>
          <w:tcPr>
            <w:tcW w:type="dxa" w:w="1872"/>
          </w:tcPr>
          <w:p>
            <w:pPr>
              <w:spacing w:line="240" w:lineRule="auto"/>
            </w:pPr>
            <w:r/>
            <w:r>
              <w:rPr>
                <w:rFonts w:ascii="Times New Roman" w:hAnsi="Times New Roman" w:eastAsia="Times New Roman"/>
                <w:b w:val="0"/>
                <w:i w:val="0"/>
                <w:color w:val="000000"/>
                <w:sz w:val="20"/>
              </w:rPr>
              <w:t>40</w:t>
            </w:r>
          </w:p>
        </w:tc>
        <w:tc>
          <w:tcPr>
            <w:tcW w:type="dxa" w:w="1872"/>
          </w:tcPr>
          <w:p>
            <w:pPr>
              <w:spacing w:line="240" w:lineRule="auto"/>
            </w:pPr>
            <w:r/>
            <w:r>
              <w:rPr>
                <w:rFonts w:ascii="Times New Roman" w:hAnsi="Times New Roman" w:eastAsia="Times New Roman"/>
                <w:b w:val="0"/>
                <w:i w:val="0"/>
                <w:color w:val="000000"/>
                <w:sz w:val="20"/>
              </w:rPr>
              <w:t>0</w:t>
            </w:r>
          </w:p>
        </w:tc>
      </w:tr>
      <w:tr>
        <w:tc>
          <w:tcPr>
            <w:tcW w:type="dxa" w:w="1872"/>
          </w:tcPr>
          <w:p>
            <w:pPr>
              <w:spacing w:line="240" w:lineRule="auto"/>
            </w:pPr>
            <w:r/>
            <w:r>
              <w:rPr>
                <w:rFonts w:ascii="Times New Roman" w:hAnsi="Times New Roman" w:eastAsia="Times New Roman"/>
                <w:b w:val="0"/>
                <w:i w:val="0"/>
                <w:color w:val="000000"/>
                <w:sz w:val="20"/>
              </w:rPr>
              <w:t>Always full article</w:t>
            </w:r>
          </w:p>
        </w:tc>
        <w:tc>
          <w:tcPr>
            <w:tcW w:type="dxa" w:w="1872"/>
          </w:tcPr>
          <w:p>
            <w:pPr>
              <w:spacing w:line="240" w:lineRule="auto"/>
            </w:pPr>
            <w:r/>
            <w:r>
              <w:rPr>
                <w:rFonts w:ascii="Times New Roman" w:hAnsi="Times New Roman" w:eastAsia="Times New Roman"/>
                <w:b w:val="0"/>
                <w:i w:val="0"/>
                <w:color w:val="000000"/>
                <w:sz w:val="20"/>
              </w:rPr>
              <w:t>34.25%</w:t>
            </w:r>
          </w:p>
        </w:tc>
        <w:tc>
          <w:tcPr>
            <w:tcW w:type="dxa" w:w="1872"/>
          </w:tcPr>
          <w:p>
            <w:pPr>
              <w:spacing w:line="240" w:lineRule="auto"/>
            </w:pPr>
            <w:r/>
            <w:r>
              <w:rPr>
                <w:rFonts w:ascii="Times New Roman" w:hAnsi="Times New Roman" w:eastAsia="Times New Roman"/>
                <w:b w:val="0"/>
                <w:i w:val="0"/>
                <w:color w:val="000000"/>
                <w:sz w:val="20"/>
              </w:rPr>
              <w:t>0.6020</w:t>
            </w:r>
          </w:p>
        </w:tc>
        <w:tc>
          <w:tcPr>
            <w:tcW w:type="dxa" w:w="1872"/>
          </w:tcPr>
          <w:p>
            <w:pPr>
              <w:spacing w:line="240" w:lineRule="auto"/>
            </w:pPr>
            <w:r/>
            <w:r>
              <w:rPr>
                <w:rFonts w:ascii="Times New Roman" w:hAnsi="Times New Roman" w:eastAsia="Times New Roman"/>
                <w:b w:val="0"/>
                <w:i w:val="0"/>
                <w:color w:val="000000"/>
                <w:sz w:val="20"/>
              </w:rPr>
              <w:t>0</w:t>
            </w:r>
          </w:p>
        </w:tc>
        <w:tc>
          <w:tcPr>
            <w:tcW w:type="dxa" w:w="1872"/>
          </w:tcPr>
          <w:p>
            <w:pPr>
              <w:spacing w:line="240" w:lineRule="auto"/>
            </w:pPr>
            <w:r/>
            <w:r>
              <w:rPr>
                <w:rFonts w:ascii="Times New Roman" w:hAnsi="Times New Roman" w:eastAsia="Times New Roman"/>
                <w:b w:val="0"/>
                <w:i w:val="0"/>
                <w:color w:val="000000"/>
                <w:sz w:val="20"/>
              </w:rPr>
              <w:t>40</w:t>
            </w:r>
          </w:p>
        </w:tc>
      </w:tr>
      <w:tr>
        <w:tc>
          <w:tcPr>
            <w:tcW w:type="dxa" w:w="1872"/>
          </w:tcPr>
          <w:p>
            <w:pPr>
              <w:spacing w:line="240" w:lineRule="auto"/>
            </w:pPr>
            <w:r/>
            <w:r>
              <w:rPr>
                <w:rFonts w:ascii="Times New Roman" w:hAnsi="Times New Roman" w:eastAsia="Times New Roman"/>
                <w:b w:val="0"/>
                <w:i w:val="0"/>
                <w:color w:val="000000"/>
                <w:sz w:val="20"/>
              </w:rPr>
              <w:t>SVM (V2)</w:t>
            </w:r>
          </w:p>
        </w:tc>
        <w:tc>
          <w:tcPr>
            <w:tcW w:type="dxa" w:w="1872"/>
          </w:tcPr>
          <w:p>
            <w:pPr>
              <w:spacing w:line="240" w:lineRule="auto"/>
            </w:pPr>
            <w:r/>
            <w:r>
              <w:rPr>
                <w:rFonts w:ascii="Times New Roman" w:hAnsi="Times New Roman" w:eastAsia="Times New Roman"/>
                <w:b w:val="0"/>
                <w:i w:val="0"/>
                <w:color w:val="000000"/>
                <w:sz w:val="20"/>
              </w:rPr>
              <w:t>33.00%</w:t>
            </w:r>
          </w:p>
        </w:tc>
        <w:tc>
          <w:tcPr>
            <w:tcW w:type="dxa" w:w="1872"/>
          </w:tcPr>
          <w:p>
            <w:pPr>
              <w:spacing w:line="240" w:lineRule="auto"/>
            </w:pPr>
            <w:r/>
            <w:r>
              <w:rPr>
                <w:rFonts w:ascii="Times New Roman" w:hAnsi="Times New Roman" w:eastAsia="Times New Roman"/>
                <w:b w:val="0"/>
                <w:i w:val="0"/>
                <w:color w:val="000000"/>
                <w:sz w:val="20"/>
              </w:rPr>
              <w:t>0.6149</w:t>
            </w:r>
          </w:p>
        </w:tc>
        <w:tc>
          <w:tcPr>
            <w:tcW w:type="dxa" w:w="1872"/>
          </w:tcPr>
          <w:p>
            <w:pPr>
              <w:spacing w:line="240" w:lineRule="auto"/>
            </w:pPr>
            <w:r/>
            <w:r>
              <w:rPr>
                <w:rFonts w:ascii="Times New Roman" w:hAnsi="Times New Roman" w:eastAsia="Times New Roman"/>
                <w:b w:val="0"/>
                <w:i w:val="0"/>
                <w:color w:val="000000"/>
                <w:sz w:val="20"/>
              </w:rPr>
              <w:t>20</w:t>
            </w:r>
          </w:p>
        </w:tc>
        <w:tc>
          <w:tcPr>
            <w:tcW w:type="dxa" w:w="1872"/>
          </w:tcPr>
          <w:p>
            <w:pPr>
              <w:spacing w:line="240" w:lineRule="auto"/>
            </w:pPr>
            <w:r/>
            <w:r>
              <w:rPr>
                <w:rFonts w:ascii="Times New Roman" w:hAnsi="Times New Roman" w:eastAsia="Times New Roman"/>
                <w:b w:val="0"/>
                <w:i w:val="0"/>
                <w:color w:val="000000"/>
                <w:sz w:val="20"/>
              </w:rPr>
              <w:t>20</w:t>
            </w:r>
          </w:p>
        </w:tc>
      </w:tr>
    </w:tbl>
    <w:p>
      <w:pPr>
        <w:spacing w:line="480" w:lineRule="auto"/>
      </w:pPr>
    </w:p>
    <w:p>
      <w:pPr>
        <w:spacing w:line="480" w:lineRule="auto" w:before="120" w:after="240"/>
        <w:ind w:firstLine="0"/>
      </w:pPr>
      <w:r>
        <w:rPr>
          <w:rFonts w:ascii="Times New Roman" w:hAnsi="Times New Roman" w:eastAsia="Times New Roman"/>
          <w:b w:val="0"/>
          <w:i/>
          <w:color w:val="000000"/>
          <w:sz w:val="22"/>
        </w:rPr>
        <w:t>Table 2. Frozen dual-index retrieval on H001–H040 (400 graded judgments, cutoff 5). Higher is better. The SVM does not win P@5 or nDCG@5.</w:t>
      </w:r>
    </w:p>
    <w:p>
      <w:pPr>
        <w:spacing w:line="480" w:lineRule="auto" w:after="0" w:before="0"/>
        <w:ind w:firstLine="720"/>
      </w:pPr>
      <w:r>
        <w:rPr>
          <w:rFonts w:ascii="Times New Roman" w:hAnsi="Times New Roman" w:eastAsia="Times New Roman"/>
          <w:b w:val="0"/>
          <w:i w:val="0"/>
          <w:color w:val="000000"/>
          <w:sz w:val="24"/>
        </w:rPr>
        <w:t>Fig 1 is the system we actually ran: dictionary, SVM, two rooms, lights. Fig 2 is the cue split. Fig 3 is the P@5 comparison. Fig 4 is a reminder not to quote development 100% as if it were Table 1.</w:t>
      </w:r>
    </w:p>
    <w:p>
      <w:pPr>
        <w:spacing w:line="480" w:lineRule="auto" w:before="120" w:after="240"/>
        <w:ind w:firstLine="0"/>
      </w:pPr>
      <w:r>
        <w:rPr>
          <w:rFonts w:ascii="Times New Roman" w:hAnsi="Times New Roman" w:eastAsia="Times New Roman"/>
          <w:b w:val="0"/>
          <w:i/>
          <w:color w:val="000000"/>
          <w:sz w:val="22"/>
        </w:rPr>
        <w:t>Fig 1. Routing pipeline. Roman Urdu dictionary, SVM room choice (headline vs full article), and HIGH / MEDIUM / LOW mixing.</w:t>
      </w:r>
    </w:p>
    <w:p>
      <w:pPr>
        <w:spacing w:line="480" w:lineRule="auto" w:before="120" w:after="240"/>
        <w:ind w:firstLine="0"/>
      </w:pPr>
      <w:r>
        <w:rPr>
          <w:rFonts w:ascii="Times New Roman" w:hAnsi="Times New Roman" w:eastAsia="Times New Roman"/>
          <w:b w:val="0"/>
          <w:i/>
          <w:color w:val="000000"/>
          <w:sz w:val="22"/>
        </w:rPr>
        <w:t>Fig 2. Trap cue split (n = 40). SVM 18/18 when why/how/fact wording fires; 27.27% for both systems otherwise.</w:t>
      </w:r>
    </w:p>
    <w:p>
      <w:pPr>
        <w:spacing w:line="480" w:lineRule="auto" w:before="120" w:after="240"/>
        <w:ind w:firstLine="0"/>
      </w:pPr>
      <w:r>
        <w:rPr>
          <w:rFonts w:ascii="Times New Roman" w:hAnsi="Times New Roman" w:eastAsia="Times New Roman"/>
          <w:b w:val="0"/>
          <w:i/>
          <w:color w:val="000000"/>
          <w:sz w:val="22"/>
        </w:rPr>
        <w:t>Fig 3. Dual-index graded P@5 on the frozen 40 queries.</w:t>
      </w:r>
    </w:p>
    <w:p>
      <w:pPr>
        <w:spacing w:line="480" w:lineRule="auto" w:before="120" w:after="240"/>
        <w:ind w:firstLine="0"/>
      </w:pPr>
      <w:r>
        <w:rPr>
          <w:rFonts w:ascii="Times New Roman" w:hAnsi="Times New Roman" w:eastAsia="Times New Roman"/>
          <w:b w:val="0"/>
          <w:i/>
          <w:color w:val="000000"/>
          <w:sz w:val="22"/>
        </w:rPr>
        <w:t>Fig 4. Three evaluation layers that should not be averaged into one headline number.</w:t>
      </w:r>
    </w:p>
    <w:p>
      <w:pPr>
        <w:keepNext/>
        <w:spacing w:line="480" w:lineRule="auto" w:before="240" w:after="0"/>
        <w:ind w:firstLine="0"/>
      </w:pPr>
      <w:r>
        <w:rPr>
          <w:rFonts w:ascii="Times New Roman" w:hAnsi="Times New Roman" w:eastAsia="Times New Roman"/>
          <w:b/>
          <w:i/>
          <w:color w:val="000000"/>
          <w:sz w:val="24"/>
        </w:rPr>
        <w:t>Live confidence, briefly</w:t>
      </w:r>
    </w:p>
    <w:p>
      <w:pPr>
        <w:spacing w:line="480" w:lineRule="auto" w:after="0" w:before="0"/>
        <w:ind w:firstLine="720"/>
      </w:pPr>
      <w:r>
        <w:rPr>
          <w:rFonts w:ascii="Times New Roman" w:hAnsi="Times New Roman" w:eastAsia="Times New Roman"/>
          <w:b w:val="0"/>
          <w:i w:val="0"/>
          <w:color w:val="000000"/>
          <w:sz w:val="24"/>
        </w:rPr>
        <w:t>A defense demo on the deployed twelve-feature pickle (not the frozen V2 scorer) produced a green light on کرکٹ میچ (about 99%, headlines only) and yellow lights on ڈالر کی قیمت کتنی بڑھی (about 83%) and آج سٹاک ایکسچینج کتنے پوائنٹ پر (about 66%). A red light is in the code. It did not show up on that small probe. Anyone repeating the demo should not recycle an older JSON that put a cricket-score query in the red bin; on the current pickle that query is green.</w:t>
      </w:r>
    </w:p>
    <w:p>
      <w:pPr>
        <w:keepNext/>
        <w:spacing w:line="480" w:lineRule="auto" w:before="240" w:after="0"/>
        <w:ind w:firstLine="0"/>
      </w:pPr>
      <w:r>
        <w:rPr>
          <w:rFonts w:ascii="Times New Roman" w:hAnsi="Times New Roman" w:eastAsia="Times New Roman"/>
          <w:b/>
          <w:i w:val="0"/>
          <w:color w:val="000000"/>
          <w:sz w:val="28"/>
        </w:rPr>
        <w:t>Discussion</w:t>
      </w:r>
    </w:p>
    <w:p>
      <w:pPr>
        <w:spacing w:line="480" w:lineRule="auto" w:after="0" w:before="0"/>
        <w:ind w:firstLine="720"/>
      </w:pPr>
      <w:r>
        <w:rPr>
          <w:rFonts w:ascii="Times New Roman" w:hAnsi="Times New Roman" w:eastAsia="Times New Roman"/>
          <w:b w:val="0"/>
          <w:i w:val="0"/>
          <w:color w:val="000000"/>
          <w:sz w:val="24"/>
        </w:rPr>
        <w:t>There are two honest readings of this project, and they are not the same paper.</w:t>
      </w:r>
    </w:p>
    <w:p>
      <w:pPr>
        <w:spacing w:line="480" w:lineRule="auto" w:after="0" w:before="0"/>
        <w:ind w:firstLine="720"/>
      </w:pPr>
      <w:r>
        <w:rPr>
          <w:rFonts w:ascii="Times New Roman" w:hAnsi="Times New Roman" w:eastAsia="Times New Roman"/>
          <w:b w:val="0"/>
          <w:i w:val="0"/>
          <w:color w:val="000000"/>
          <w:sz w:val="24"/>
        </w:rPr>
        <w:t>Reading A: character length is the wrong switch for Urdu news queries. A small SVM, given script and cue features, can beat a word-count rule on queries that were written to punish that rule. We believe Reading A. The 16–0 McNemar table is hard to argue with, provided one also prints the 18/22 cue split.</w:t>
      </w:r>
    </w:p>
    <w:p>
      <w:pPr>
        <w:spacing w:line="480" w:lineRule="auto" w:after="0" w:before="0"/>
        <w:ind w:firstLine="720"/>
      </w:pPr>
      <w:r>
        <w:rPr>
          <w:rFonts w:ascii="Times New Roman" w:hAnsi="Times New Roman" w:eastAsia="Times New Roman"/>
          <w:b w:val="0"/>
          <w:i w:val="0"/>
          <w:color w:val="000000"/>
          <w:sz w:val="24"/>
        </w:rPr>
        <w:t>Reading B: therefore retrieval gets better. We do not have Reading B. Once both rooms are real indexes, sending a query to the “right” room on our labels did not raise P@5. Always searching headlines even won nDCG@5. That can mean several things at once: the gold labels are about need, not about which room this encoder happens to rank well; news headlines already carry a lot of the lexical overlap MiniLM likes; mixing rooms on medium confidence can import junk; 40 queries is a small IR test. All of those can be true.</w:t>
      </w:r>
    </w:p>
    <w:p>
      <w:pPr>
        <w:spacing w:line="480" w:lineRule="auto" w:after="0" w:before="0"/>
        <w:ind w:firstLine="720"/>
      </w:pPr>
      <w:r>
        <w:rPr>
          <w:rFonts w:ascii="Times New Roman" w:hAnsi="Times New Roman" w:eastAsia="Times New Roman"/>
          <w:b w:val="0"/>
          <w:i w:val="0"/>
          <w:color w:val="000000"/>
          <w:sz w:val="24"/>
        </w:rPr>
        <w:t>English adaptive retrieval work usually reports ranking metrics as the main figure and treats the router as a means [5,6]. If we had followed that habit and led with 86% vs 84%, or with development 100%, the paper would look cleaner and be worse. PLOS ONE’s bar is technical soundness [10]. A negative retrieval transfer on a frozen set is still a result.</w:t>
      </w:r>
    </w:p>
    <w:p>
      <w:pPr>
        <w:spacing w:line="480" w:lineRule="auto" w:after="0" w:before="0"/>
        <w:ind w:firstLine="720"/>
      </w:pPr>
      <w:r>
        <w:rPr>
          <w:rFonts w:ascii="Times New Roman" w:hAnsi="Times New Roman" w:eastAsia="Times New Roman"/>
          <w:b w:val="0"/>
          <w:i w:val="0"/>
          <w:color w:val="000000"/>
          <w:sz w:val="24"/>
        </w:rPr>
        <w:t>The practical implication for Urdu news search is modest. Do not ship θ = 150 and call it adaptive. Do not ship our SVM and promise better first-page results. If the product need is “don’t embarrass yourself on why/how queries,” the cue features are doing real work. If the product need is nDCG, start with the headline index and spend the next month on the encoder and the judgments, not on another kernel.</w:t>
      </w:r>
    </w:p>
    <w:p>
      <w:pPr>
        <w:keepNext/>
        <w:spacing w:line="480" w:lineRule="auto" w:before="240" w:after="0"/>
        <w:ind w:firstLine="0"/>
      </w:pPr>
      <w:r>
        <w:rPr>
          <w:rFonts w:ascii="Times New Roman" w:hAnsi="Times New Roman" w:eastAsia="Times New Roman"/>
          <w:b/>
          <w:i/>
          <w:color w:val="000000"/>
          <w:sz w:val="24"/>
        </w:rPr>
        <w:t>Limitations</w:t>
      </w:r>
    </w:p>
    <w:p>
      <w:pPr>
        <w:spacing w:line="480" w:lineRule="auto" w:after="0" w:before="0"/>
        <w:ind w:firstLine="720"/>
      </w:pPr>
      <w:r>
        <w:rPr>
          <w:rFonts w:ascii="Times New Roman" w:hAnsi="Times New Roman" w:eastAsia="Times New Roman"/>
          <w:b w:val="0"/>
          <w:i w:val="0"/>
          <w:color w:val="000000"/>
          <w:sz w:val="24"/>
        </w:rPr>
        <w:t>The corpus is news. Legal or medical Urdu would look different. Roman Urdu coverage is a word list, not a trained transliterator, so unseen spellings pass through untouched. Relevance labels were not a formal double-blind annotation study; agreement with a second independent rater is not reported because that rater does not exist. The deployed pickle and the frozen V2 model are not the same object; we documented that instead of averaging them. LOW-confidence expansion rarely triggers on the queries we tried. P@5 at depth 5 cannot see a relevant article sitting at rank 8.</w:t>
      </w:r>
    </w:p>
    <w:p>
      <w:pPr>
        <w:keepNext/>
        <w:spacing w:line="480" w:lineRule="auto" w:before="240" w:after="0"/>
        <w:ind w:firstLine="0"/>
      </w:pPr>
      <w:r>
        <w:rPr>
          <w:rFonts w:ascii="Times New Roman" w:hAnsi="Times New Roman" w:eastAsia="Times New Roman"/>
          <w:b/>
          <w:i w:val="0"/>
          <w:color w:val="000000"/>
          <w:sz w:val="28"/>
        </w:rPr>
        <w:t>Conclusions</w:t>
      </w:r>
    </w:p>
    <w:p>
      <w:pPr>
        <w:spacing w:line="480" w:lineRule="auto" w:after="0" w:before="0"/>
        <w:ind w:firstLine="720"/>
      </w:pPr>
      <w:r>
        <w:rPr>
          <w:rFonts w:ascii="Times New Roman" w:hAnsi="Times New Roman" w:eastAsia="Times New Roman"/>
          <w:b w:val="0"/>
          <w:i w:val="0"/>
          <w:color w:val="000000"/>
          <w:sz w:val="24"/>
        </w:rPr>
        <w:t>We replaced ULTRA’s 150-character switch with a need-based SHORT/LONG label, an eight-feature SVM, two indexes, and a confidence mixer. The SVM is easy to beat word count with when the query contains why/how/fact wording, and it is not easy when those words are absent. Wiring the decision into retrieval did not improve P@5 on 40 frozen traps. nDCG@5 favored searching headlines for every query. That is the study. It is enough to stop quoting character thresholds as if they were a theory of the user, and not enough to declare the retrieval problem solved.</w:t>
      </w:r>
    </w:p>
    <w:p>
      <w:pPr>
        <w:keepNext/>
        <w:spacing w:line="480" w:lineRule="auto" w:before="240" w:after="0"/>
        <w:ind w:firstLine="0"/>
      </w:pPr>
      <w:r>
        <w:rPr>
          <w:rFonts w:ascii="Times New Roman" w:hAnsi="Times New Roman" w:eastAsia="Times New Roman"/>
          <w:b/>
          <w:i w:val="0"/>
          <w:color w:val="000000"/>
          <w:sz w:val="28"/>
        </w:rPr>
        <w:t>Acknowledgments</w:t>
      </w:r>
    </w:p>
    <w:p>
      <w:pPr>
        <w:spacing w:line="480" w:lineRule="auto" w:after="0" w:before="0"/>
        <w:ind w:firstLine="720"/>
      </w:pPr>
      <w:r>
        <w:rPr>
          <w:rFonts w:ascii="Times New Roman" w:hAnsi="Times New Roman" w:eastAsia="Times New Roman"/>
          <w:b w:val="0"/>
          <w:i w:val="0"/>
          <w:color w:val="000000"/>
          <w:sz w:val="24"/>
        </w:rPr>
        <w:t>We thank Air University’s Department of Creative Technologies for the environment in which this MS work was done. Named editors and reviewers are not listed here, per PLOS policy.</w:t>
      </w:r>
    </w:p>
    <w:p>
      <w:pPr>
        <w:keepNext/>
        <w:spacing w:line="480" w:lineRule="auto" w:before="240" w:after="0"/>
        <w:ind w:firstLine="0"/>
      </w:pPr>
      <w:r>
        <w:rPr>
          <w:rFonts w:ascii="Times New Roman" w:hAnsi="Times New Roman" w:eastAsia="Times New Roman"/>
          <w:b/>
          <w:i w:val="0"/>
          <w:color w:val="000000"/>
          <w:sz w:val="28"/>
        </w:rPr>
        <w:t>References</w:t>
      </w:r>
    </w:p>
    <w:p>
      <w:pPr>
        <w:spacing w:line="480" w:lineRule="auto" w:after="0"/>
        <w:ind w:hanging="576" w:left="576"/>
      </w:pPr>
      <w:r>
        <w:rPr>
          <w:rFonts w:ascii="Times New Roman" w:hAnsi="Times New Roman" w:eastAsia="Times New Roman"/>
          <w:b w:val="0"/>
          <w:i w:val="0"/>
          <w:color w:val="000000"/>
          <w:sz w:val="24"/>
        </w:rPr>
        <w:t>1. Daud A, Khan W, Che D. Urdu language processing: a survey. Artif Intell Rev. 2017;47: 279–311.</w:t>
      </w:r>
    </w:p>
    <w:p>
      <w:pPr>
        <w:spacing w:line="480" w:lineRule="auto" w:after="0"/>
        <w:ind w:hanging="576" w:left="576"/>
      </w:pPr>
      <w:r>
        <w:rPr>
          <w:rFonts w:ascii="Times New Roman" w:hAnsi="Times New Roman" w:eastAsia="Times New Roman"/>
          <w:b w:val="0"/>
          <w:i w:val="0"/>
          <w:color w:val="000000"/>
          <w:sz w:val="24"/>
        </w:rPr>
        <w:t>2. Kazi S, Khoja S. A survey of Urdu NLP: resources, models, and challenges. ACM Comput Surv. 2025.</w:t>
      </w:r>
    </w:p>
    <w:p>
      <w:pPr>
        <w:spacing w:line="480" w:lineRule="auto" w:after="0"/>
        <w:ind w:hanging="576" w:left="576"/>
      </w:pPr>
      <w:r>
        <w:rPr>
          <w:rFonts w:ascii="Times New Roman" w:hAnsi="Times New Roman" w:eastAsia="Times New Roman"/>
          <w:b w:val="0"/>
          <w:i w:val="0"/>
          <w:color w:val="000000"/>
          <w:sz w:val="24"/>
        </w:rPr>
        <w:t>3. Hussain S, et al. Roman Urdu processing for downstream NLP tasks. 2025.</w:t>
      </w:r>
    </w:p>
    <w:p>
      <w:pPr>
        <w:spacing w:line="480" w:lineRule="auto" w:after="0"/>
        <w:ind w:hanging="576" w:left="576"/>
      </w:pPr>
      <w:r>
        <w:rPr>
          <w:rFonts w:ascii="Times New Roman" w:hAnsi="Times New Roman" w:eastAsia="Times New Roman"/>
          <w:b w:val="0"/>
          <w:i w:val="0"/>
          <w:color w:val="000000"/>
          <w:sz w:val="24"/>
        </w:rPr>
        <w:t>4. Bashir M, Qaiser S, Hussain S. ULTRA: dual-embedding query-length routing for Urdu news retrieval. 2026.</w:t>
      </w:r>
    </w:p>
    <w:p>
      <w:pPr>
        <w:spacing w:line="480" w:lineRule="auto" w:after="0"/>
        <w:ind w:hanging="576" w:left="576"/>
      </w:pPr>
      <w:r>
        <w:rPr>
          <w:rFonts w:ascii="Times New Roman" w:hAnsi="Times New Roman" w:eastAsia="Times New Roman"/>
          <w:b w:val="0"/>
          <w:i w:val="0"/>
          <w:color w:val="000000"/>
          <w:sz w:val="24"/>
        </w:rPr>
        <w:t>5. Arabzadeh N, et al. Query-level routing between sparse and dense retrievers. Proceedings of SIGIR. 2021.</w:t>
      </w:r>
    </w:p>
    <w:p>
      <w:pPr>
        <w:spacing w:line="480" w:lineRule="auto" w:after="0"/>
        <w:ind w:hanging="576" w:left="576"/>
      </w:pPr>
      <w:r>
        <w:rPr>
          <w:rFonts w:ascii="Times New Roman" w:hAnsi="Times New Roman" w:eastAsia="Times New Roman"/>
          <w:b w:val="0"/>
          <w:i w:val="0"/>
          <w:color w:val="000000"/>
          <w:sz w:val="24"/>
        </w:rPr>
        <w:t>6. Jeong S, et al. Adaptive-RAG: learning to adapt retrieval-augmented large language models. Proceedings of NAACL. 2024.</w:t>
      </w:r>
    </w:p>
    <w:p>
      <w:pPr>
        <w:spacing w:line="480" w:lineRule="auto" w:after="0"/>
        <w:ind w:hanging="576" w:left="576"/>
      </w:pPr>
      <w:r>
        <w:rPr>
          <w:rFonts w:ascii="Times New Roman" w:hAnsi="Times New Roman" w:eastAsia="Times New Roman"/>
          <w:b w:val="0"/>
          <w:i w:val="0"/>
          <w:color w:val="000000"/>
          <w:sz w:val="24"/>
        </w:rPr>
        <w:t>7. Iqbal H, et al. CURE: Collection for Urdu Retrieval Evaluation. 2021.</w:t>
      </w:r>
    </w:p>
    <w:p>
      <w:pPr>
        <w:spacing w:line="480" w:lineRule="auto" w:after="0"/>
        <w:ind w:hanging="576" w:left="576"/>
      </w:pPr>
      <w:r>
        <w:rPr>
          <w:rFonts w:ascii="Times New Roman" w:hAnsi="Times New Roman" w:eastAsia="Times New Roman"/>
          <w:b w:val="0"/>
          <w:i w:val="0"/>
          <w:color w:val="000000"/>
          <w:sz w:val="24"/>
        </w:rPr>
        <w:t>8. Butt M, et al. Urdu MS MARCO: a translated passage-ranking benchmark. 2024.</w:t>
      </w:r>
    </w:p>
    <w:p>
      <w:pPr>
        <w:spacing w:line="480" w:lineRule="auto" w:after="0"/>
        <w:ind w:hanging="576" w:left="576"/>
      </w:pPr>
      <w:r>
        <w:rPr>
          <w:rFonts w:ascii="Times New Roman" w:hAnsi="Times New Roman" w:eastAsia="Times New Roman"/>
          <w:b w:val="0"/>
          <w:i w:val="0"/>
          <w:color w:val="000000"/>
          <w:sz w:val="24"/>
        </w:rPr>
        <w:t>9. Reimers N, Gurevych I. Sentence-BERT: sentence embeddings using Siamese BERT-networks. Proceedings of EMNLP. 2019.</w:t>
      </w:r>
    </w:p>
    <w:p>
      <w:pPr>
        <w:spacing w:line="480" w:lineRule="auto" w:after="0"/>
        <w:ind w:hanging="576" w:left="576"/>
      </w:pPr>
      <w:r>
        <w:rPr>
          <w:rFonts w:ascii="Times New Roman" w:hAnsi="Times New Roman" w:eastAsia="Times New Roman"/>
          <w:b w:val="0"/>
          <w:i w:val="0"/>
          <w:color w:val="000000"/>
          <w:sz w:val="24"/>
        </w:rPr>
        <w:t>10. PLOS ONE. Publication criteria. Available from: https://journals.plos.org/plosone/s/criteria-for-publication</w:t>
      </w:r>
    </w:p>
    <w:p>
      <w:pPr>
        <w:spacing w:line="480" w:lineRule="auto" w:after="0"/>
        <w:ind w:hanging="576" w:left="576"/>
      </w:pPr>
      <w:r>
        <w:rPr>
          <w:rFonts w:ascii="Times New Roman" w:hAnsi="Times New Roman" w:eastAsia="Times New Roman"/>
          <w:b w:val="0"/>
          <w:i w:val="0"/>
          <w:color w:val="000000"/>
          <w:sz w:val="24"/>
        </w:rPr>
        <w:t>11. Robertson S, Zaragoza H. The probabilistic relevance framework: BM25 and beyond. Found Trends Inf Retr. 2009;3(4): 333–389.</w:t>
      </w:r>
    </w:p>
    <w:p>
      <w:pPr>
        <w:spacing w:line="480" w:lineRule="auto" w:after="0"/>
        <w:ind w:hanging="576" w:left="576"/>
      </w:pPr>
      <w:r>
        <w:rPr>
          <w:rFonts w:ascii="Times New Roman" w:hAnsi="Times New Roman" w:eastAsia="Times New Roman"/>
          <w:b w:val="0"/>
          <w:i w:val="0"/>
          <w:color w:val="000000"/>
          <w:sz w:val="24"/>
        </w:rPr>
        <w:t>12. Karpukhin V, Oguz B, Min S, Lewis P, Wu L, Edunov S, et al. Dense passage retrieval for open-domain question answering. Proceedings of EMNLP. 2020. pp. 6769–6781.</w:t>
      </w:r>
    </w:p>
    <w:p>
      <w:pPr>
        <w:spacing w:line="480" w:lineRule="auto" w:after="0"/>
        <w:ind w:hanging="576" w:left="576"/>
      </w:pPr>
      <w:r>
        <w:rPr>
          <w:rFonts w:ascii="Times New Roman" w:hAnsi="Times New Roman" w:eastAsia="Times New Roman"/>
          <w:b w:val="0"/>
          <w:i w:val="0"/>
          <w:color w:val="000000"/>
          <w:sz w:val="24"/>
        </w:rPr>
        <w:t>13. Conneau A, Khandelwal K, Goyal N, Chaudhary V, Wenzek G, Guzmán F, et al. Unsupervised cross-lingual representation learning at scale. Proceedings of ACL. 2020. pp. 8440–8451.</w:t>
      </w:r>
    </w:p>
    <w:p>
      <w:pPr>
        <w:spacing w:line="480" w:lineRule="auto" w:after="0"/>
        <w:ind w:hanging="576" w:left="576"/>
      </w:pPr>
      <w:r>
        <w:rPr>
          <w:rFonts w:ascii="Times New Roman" w:hAnsi="Times New Roman" w:eastAsia="Times New Roman"/>
          <w:b w:val="0"/>
          <w:i w:val="0"/>
          <w:color w:val="000000"/>
          <w:sz w:val="24"/>
        </w:rPr>
        <w:t>14. Platt J. Probabilistic outputs for support vector machines and comparisons to regularized likelihood methods. In: Advances in large margin classifiers. 1999. pp. 61–74.</w:t>
      </w:r>
    </w:p>
    <w:p>
      <w:pPr>
        <w:spacing w:line="480" w:lineRule="auto" w:after="0"/>
        <w:ind w:hanging="576" w:left="576"/>
      </w:pPr>
      <w:r>
        <w:rPr>
          <w:rFonts w:ascii="Times New Roman" w:hAnsi="Times New Roman" w:eastAsia="Times New Roman"/>
          <w:b w:val="0"/>
          <w:i w:val="0"/>
          <w:color w:val="000000"/>
          <w:sz w:val="24"/>
        </w:rPr>
        <w:t>15. McNemar Q. Note on the sampling error of the difference between correlated proportions or percentages. Psychometrika. 1947;12: 153–157.</w:t>
      </w:r>
    </w:p>
    <w:p>
      <w:pPr>
        <w:keepNext/>
        <w:spacing w:line="480" w:lineRule="auto" w:before="240" w:after="0"/>
        <w:ind w:firstLine="0"/>
      </w:pPr>
      <w:r>
        <w:rPr>
          <w:rFonts w:ascii="Times New Roman" w:hAnsi="Times New Roman" w:eastAsia="Times New Roman"/>
          <w:b/>
          <w:i w:val="0"/>
          <w:color w:val="000000"/>
          <w:sz w:val="28"/>
        </w:rPr>
        <w:t>Supporting information</w:t>
      </w:r>
    </w:p>
    <w:p>
      <w:pPr>
        <w:spacing w:line="480" w:lineRule="auto" w:after="0" w:before="0"/>
        <w:ind w:firstLine="0"/>
      </w:pPr>
      <w:r>
        <w:rPr>
          <w:rFonts w:ascii="Times New Roman" w:hAnsi="Times New Roman" w:eastAsia="Times New Roman"/>
          <w:b w:val="0"/>
          <w:i w:val="0"/>
          <w:color w:val="000000"/>
          <w:sz w:val="24"/>
        </w:rPr>
        <w:t>S1 File. Frozen trap sheet and label protocol (SHORT = headline enough, LONG = need the article).</w:t>
      </w:r>
    </w:p>
    <w:p>
      <w:pPr>
        <w:spacing w:line="480" w:lineRule="auto" w:after="0" w:before="0"/>
        <w:ind w:firstLine="0"/>
      </w:pPr>
      <w:r>
        <w:rPr>
          <w:rFonts w:ascii="Times New Roman" w:hAnsi="Times New Roman" w:eastAsia="Times New Roman"/>
          <w:b w:val="0"/>
          <w:i w:val="0"/>
          <w:color w:val="000000"/>
          <w:sz w:val="24"/>
        </w:rPr>
        <w:t>S2 File. Held-out dual-index P@5 and nDCG@5 tables (400 judgments).</w:t>
      </w:r>
    </w:p>
    <w:p>
      <w:pPr>
        <w:spacing w:line="480" w:lineRule="auto" w:after="0" w:before="0"/>
        <w:ind w:firstLine="0"/>
      </w:pPr>
      <w:r>
        <w:rPr>
          <w:rFonts w:ascii="Times New Roman" w:hAnsi="Times New Roman" w:eastAsia="Times New Roman"/>
          <w:b w:val="0"/>
          <w:i w:val="0"/>
          <w:color w:val="000000"/>
          <w:sz w:val="24"/>
        </w:rPr>
        <w:t>S3 File. Phase 3B frozen classification report (50 primary queries).</w:t>
      </w:r>
    </w:p>
    <w:p>
      <w:pPr>
        <w:keepNext/>
        <w:spacing w:line="480" w:lineRule="auto" w:before="240" w:after="0"/>
        <w:ind w:firstLine="0"/>
      </w:pPr>
      <w:r>
        <w:rPr>
          <w:rFonts w:ascii="Times New Roman" w:hAnsi="Times New Roman" w:eastAsia="Times New Roman"/>
          <w:b/>
          <w:i w:val="0"/>
          <w:color w:val="000000"/>
          <w:sz w:val="28"/>
        </w:rPr>
        <w:t>Declarations (enter in the PLOS submission form as well)</w:t>
      </w:r>
    </w:p>
    <w:p>
      <w:pPr>
        <w:spacing w:line="480" w:lineRule="auto" w:after="0" w:before="0"/>
        <w:ind w:firstLine="0"/>
      </w:pPr>
      <w:r>
        <w:rPr>
          <w:rFonts w:ascii="Times New Roman" w:hAnsi="Times New Roman" w:eastAsia="Times New Roman"/>
          <w:b w:val="0"/>
          <w:i w:val="0"/>
          <w:color w:val="000000"/>
          <w:sz w:val="24"/>
        </w:rPr>
        <w:t>Data availability: Frozen scores and label sheets are in the project repository under validate/dual_index_routing/labels/. The news corpus and Chroma index are too large for the journal upload; they can be shared with qualified researchers on request to the corresponding author, subject to the original crawl’s terms.</w:t>
      </w:r>
    </w:p>
    <w:p>
      <w:pPr>
        <w:spacing w:line="480" w:lineRule="auto" w:after="0" w:before="0"/>
        <w:ind w:firstLine="0"/>
      </w:pPr>
      <w:r>
        <w:rPr>
          <w:rFonts w:ascii="Times New Roman" w:hAnsi="Times New Roman" w:eastAsia="Times New Roman"/>
          <w:b w:val="0"/>
          <w:i w:val="0"/>
          <w:color w:val="000000"/>
          <w:sz w:val="24"/>
        </w:rPr>
        <w:t>Funding: The authors received no specific funding for this work. It was completed as part of an MS degree.</w:t>
      </w:r>
    </w:p>
    <w:p>
      <w:pPr>
        <w:spacing w:line="480" w:lineRule="auto" w:after="0" w:before="0"/>
        <w:ind w:firstLine="0"/>
      </w:pPr>
      <w:r>
        <w:rPr>
          <w:rFonts w:ascii="Times New Roman" w:hAnsi="Times New Roman" w:eastAsia="Times New Roman"/>
          <w:b w:val="0"/>
          <w:i w:val="0"/>
          <w:color w:val="000000"/>
          <w:sz w:val="24"/>
        </w:rPr>
        <w:t>Competing interests: The authors have declared that no competing interests exist.</w:t>
      </w:r>
    </w:p>
    <w:p>
      <w:pPr>
        <w:spacing w:line="480" w:lineRule="auto" w:after="0" w:before="0"/>
        <w:ind w:firstLine="0"/>
      </w:pPr>
      <w:r>
        <w:rPr>
          <w:rFonts w:ascii="Times New Roman" w:hAnsi="Times New Roman" w:eastAsia="Times New Roman"/>
          <w:b w:val="0"/>
          <w:i w:val="0"/>
          <w:color w:val="000000"/>
          <w:sz w:val="24"/>
        </w:rPr>
        <w:t>Author contributions: Hashim Shazad: conceptualization, software, investigation, data curation, writing – original draft. Adnan Aslam: supervision, writing – review and editing.</w:t>
      </w:r>
    </w:p>
    <w:sectPr w:rsidR="00FC693F" w:rsidRPr="0006063C" w:rsidSect="00034616">
      <w:footerReference w:type="default" r:id="rId9"/>
      <w:pgSz w:w="12240" w:h="15840"/>
      <w:pgMar w:top="1440" w:right="1440" w:bottom="1440" w:left="1440"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000000"/>
        <w:sz w:val="20"/>
      </w:rPr>
      <w:t xml:space="preserve">Page </w:t>
    </w:r>
    <w:fldSimple w:instr=" PAGE ">
      <w:r>
        <w:rPr>
          <w:sz w:val="20"/>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