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591D4">
      <w:pPr>
        <w:spacing w:before="240" w:after="80"/>
        <w:jc w:val="center"/>
        <w:rPr>
          <w:rFonts w:hint="default" w:ascii="Calibri" w:hAnsi="Calibri" w:cs="Calibri"/>
          <w:sz w:val="24"/>
          <w:szCs w:val="24"/>
        </w:rPr>
      </w:pPr>
      <w:r>
        <w:rPr>
          <w:rFonts w:hint="default" w:ascii="Calibri" w:hAnsi="Calibri" w:cs="Calibri"/>
          <w:b/>
          <w:color w:val="0F172A"/>
          <w:sz w:val="24"/>
          <w:szCs w:val="24"/>
        </w:rPr>
        <w:t>Empirical Investigation of Preprocessing Pipelines, Regularization Strategies, and Imbalance Handling in Logistic Regression for Seizure Prediction</w:t>
      </w:r>
    </w:p>
    <w:p w14:paraId="6093A528">
      <w:pPr>
        <w:spacing w:after="480"/>
        <w:jc w:val="center"/>
        <w:rPr>
          <w:rFonts w:hint="default" w:ascii="Calibri" w:hAnsi="Calibri" w:cs="Calibri"/>
          <w:sz w:val="24"/>
          <w:szCs w:val="24"/>
        </w:rPr>
      </w:pPr>
      <w:r>
        <w:rPr>
          <w:rFonts w:hint="default" w:ascii="Calibri" w:hAnsi="Calibri" w:cs="Calibri"/>
          <w:i/>
          <w:color w:val="64748B"/>
          <w:sz w:val="24"/>
          <w:szCs w:val="24"/>
        </w:rPr>
        <w:t>IEEE Style Academic Research Report | Seizure Analysis &amp; Classification Study</w:t>
      </w:r>
    </w:p>
    <w:p w14:paraId="78376868">
      <w:pPr>
        <w:rPr>
          <w:rFonts w:hint="default" w:ascii="Calibri" w:hAnsi="Calibri" w:cs="Calibri"/>
          <w:sz w:val="24"/>
          <w:szCs w:val="24"/>
        </w:rPr>
      </w:pPr>
      <w:r>
        <w:rPr>
          <w:rFonts w:hint="default" w:ascii="Calibri" w:hAnsi="Calibri" w:cs="Calibri"/>
          <w:b/>
          <w:color w:val="0D9488"/>
          <w:sz w:val="24"/>
          <w:szCs w:val="24"/>
        </w:rPr>
        <w:t>Abstract</w:t>
      </w:r>
    </w:p>
    <w:p w14:paraId="30DA4FC1">
      <w:pPr>
        <w:spacing w:after="360"/>
        <w:rPr>
          <w:rFonts w:hint="default" w:ascii="Calibri" w:hAnsi="Calibri" w:cs="Calibri"/>
          <w:sz w:val="24"/>
          <w:szCs w:val="24"/>
        </w:rPr>
      </w:pPr>
      <w:r>
        <w:rPr>
          <w:rFonts w:hint="default" w:ascii="Calibri" w:hAnsi="Calibri" w:cs="Calibri"/>
          <w:sz w:val="24"/>
          <w:szCs w:val="24"/>
        </w:rPr>
        <w:t>Abstract</w:t>
      </w:r>
      <w:r>
        <w:rPr>
          <w:rFonts w:hint="default" w:ascii="Calibri" w:hAnsi="Calibri" w:cs="Calibri"/>
          <w:sz w:val="24"/>
          <w:szCs w:val="24"/>
          <w:lang w:val="en-US"/>
        </w:rPr>
        <w:t xml:space="preserve"> </w:t>
      </w:r>
      <w:r>
        <w:rPr>
          <w:rFonts w:hint="default" w:ascii="Calibri" w:hAnsi="Calibri" w:cs="Calibri"/>
          <w:sz w:val="24"/>
          <w:szCs w:val="24"/>
        </w:rPr>
        <w:t>Epileptic seizure prediction remains a critical task in neuro-engineering and clinical diagnostics. This research presents a rigorous empirical evaluation of the interactions between preprocessing pipeline ordering, L1/L2/Elastic Net regularization, and class imbalance handling using Logistic Regression as the baseline classifier. We evaluate three diverse EEG datasets: the BEED static tabular dataset, the 1-D flat time-series Seizure Recognition dataset, and a complex 3-D multi-channel raw EEG dataset. Our results demonstrate that the chronological placement of filtering steps, the application of SMOTE strictly on non-leaked training folds, and Lasso-based sparse feature selection represent key prerequisites to achieving high-fidelity clinical generalizations, pushing F1 scores up to 0.908 while compressing input feature spaces by 82.5%.</w:t>
      </w:r>
    </w:p>
    <w:p w14:paraId="11E8BBC5">
      <w:pPr>
        <w:spacing w:before="360" w:after="120"/>
        <w:rPr>
          <w:rFonts w:hint="default" w:ascii="Calibri" w:hAnsi="Calibri" w:cs="Calibri"/>
          <w:sz w:val="24"/>
          <w:szCs w:val="24"/>
        </w:rPr>
      </w:pPr>
      <w:r>
        <w:rPr>
          <w:rFonts w:hint="default" w:ascii="Calibri" w:hAnsi="Calibri" w:cs="Calibri"/>
          <w:b/>
          <w:color w:val="0F172A"/>
          <w:sz w:val="24"/>
          <w:szCs w:val="24"/>
        </w:rPr>
        <w:t>I. INTRODUCTION &amp; DATASET COLLECTION</w:t>
      </w:r>
    </w:p>
    <w:p w14:paraId="2F87BAA8">
      <w:pPr>
        <w:rPr>
          <w:rFonts w:hint="default" w:ascii="Calibri" w:hAnsi="Calibri" w:cs="Calibri"/>
          <w:sz w:val="24"/>
          <w:szCs w:val="24"/>
        </w:rPr>
      </w:pPr>
      <w:r>
        <w:rPr>
          <w:rFonts w:hint="default" w:ascii="Calibri" w:hAnsi="Calibri" w:cs="Calibri"/>
          <w:sz w:val="24"/>
          <w:szCs w:val="24"/>
        </w:rPr>
        <w:t>Seizure prediction models must generalize across highly diverse patient cohorts, recording modalities, and electrode placements. This investigation aims to evaluate how students' preprocessing choices, model complexities, and regularization parameters impact prediction performance. To conduct this analysis, we selected three distinct epileptic seizure datasets with varying characteristics to evaluate under a single, unified testing framework.</w:t>
      </w:r>
    </w:p>
    <w:p w14:paraId="5D2E0505">
      <w:pPr>
        <w:pStyle w:val="23"/>
        <w:rPr>
          <w:rFonts w:hint="default" w:ascii="Calibri" w:hAnsi="Calibri" w:cs="Calibri"/>
          <w:sz w:val="24"/>
          <w:szCs w:val="24"/>
        </w:rPr>
      </w:pPr>
      <w:r>
        <w:rPr>
          <w:rFonts w:hint="default" w:ascii="Calibri" w:hAnsi="Calibri" w:cs="Calibri"/>
          <w:b/>
          <w:sz w:val="24"/>
          <w:szCs w:val="24"/>
        </w:rPr>
        <w:t xml:space="preserve">BEED Bangalore EEG Dataset: </w:t>
      </w:r>
      <w:r>
        <w:rPr>
          <w:rFonts w:hint="default" w:ascii="Calibri" w:hAnsi="Calibri" w:cs="Calibri"/>
          <w:sz w:val="24"/>
          <w:szCs w:val="24"/>
        </w:rPr>
        <w:t>Pure tabular static data containing 8,000 samples and 16 features. Pre-compressed by clinical experts into standard statistical moments over fixed intervals. Class ratio is relatively balanced at 75.0% seizure samples.</w:t>
      </w:r>
    </w:p>
    <w:p w14:paraId="10FF712E">
      <w:pPr>
        <w:pStyle w:val="23"/>
        <w:rPr>
          <w:rFonts w:hint="default" w:ascii="Calibri" w:hAnsi="Calibri" w:cs="Calibri"/>
          <w:sz w:val="24"/>
          <w:szCs w:val="24"/>
        </w:rPr>
      </w:pPr>
      <w:r>
        <w:rPr>
          <w:rFonts w:hint="default" w:ascii="Calibri" w:hAnsi="Calibri" w:cs="Calibri"/>
          <w:b/>
          <w:sz w:val="24"/>
          <w:szCs w:val="24"/>
        </w:rPr>
        <w:t xml:space="preserve">Epileptic Seizure Recognition Dataset: </w:t>
      </w:r>
      <w:r>
        <w:rPr>
          <w:rFonts w:hint="default" w:ascii="Calibri" w:hAnsi="Calibri" w:cs="Calibri"/>
          <w:sz w:val="24"/>
          <w:szCs w:val="24"/>
        </w:rPr>
        <w:t>Tabularized single-channel 1-D flat time-series containing 11,500 rows and 178 sequential features. Class ratio is moderately imbalanced at exactly 20.0% seizure samples (80.0% non-seizure).</w:t>
      </w:r>
    </w:p>
    <w:p w14:paraId="23DB1EC0">
      <w:pPr>
        <w:pStyle w:val="23"/>
        <w:rPr>
          <w:rFonts w:hint="default" w:ascii="Calibri" w:hAnsi="Calibri" w:cs="Calibri"/>
          <w:sz w:val="24"/>
          <w:szCs w:val="24"/>
        </w:rPr>
      </w:pPr>
      <w:r>
        <w:rPr>
          <w:rFonts w:hint="default" w:ascii="Calibri" w:hAnsi="Calibri" w:cs="Calibri"/>
          <w:b/>
          <w:sz w:val="24"/>
          <w:szCs w:val="24"/>
        </w:rPr>
        <w:t xml:space="preserve">EEG Seizure Analysis Dataset: </w:t>
      </w:r>
      <w:r>
        <w:rPr>
          <w:rFonts w:hint="default" w:ascii="Calibri" w:hAnsi="Calibri" w:cs="Calibri"/>
          <w:sz w:val="24"/>
          <w:szCs w:val="24"/>
        </w:rPr>
        <w:t>Complex 3-D multi-channel raw EEG signals (.npz format) with 8,282 samples and a 3-D shape of (8,282, 23, 250). Class ratio is moderately imbalanced at 21.7% seizure samples (78.3% non-seizure). Represents a realistic raw clinical scenario.</w:t>
      </w:r>
    </w:p>
    <w:p w14:paraId="7EEAEC81">
      <w:pPr>
        <w:rPr>
          <w:rFonts w:hint="default" w:ascii="Calibri" w:hAnsi="Calibri" w:cs="Calibri"/>
          <w:sz w:val="24"/>
          <w:szCs w:val="24"/>
        </w:rPr>
      </w:pPr>
      <w:r>
        <w:rPr>
          <w:rFonts w:hint="default" w:ascii="Calibri" w:hAnsi="Calibri" w:cs="Calibri"/>
          <w:sz w:val="24"/>
          <w:szCs w:val="24"/>
        </w:rPr>
        <w:drawing>
          <wp:inline distT="0" distB="0" distL="114300" distR="114300">
            <wp:extent cx="4572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1524000"/>
                    </a:xfrm>
                    <a:prstGeom prst="rect">
                      <a:avLst/>
                    </a:prstGeom>
                  </pic:spPr>
                </pic:pic>
              </a:graphicData>
            </a:graphic>
          </wp:inline>
        </w:drawing>
      </w:r>
    </w:p>
    <w:p w14:paraId="7ED0C18E">
      <w:pPr>
        <w:spacing w:after="240"/>
        <w:jc w:val="center"/>
        <w:rPr>
          <w:rFonts w:hint="default" w:ascii="Calibri" w:hAnsi="Calibri" w:cs="Calibri"/>
          <w:sz w:val="24"/>
          <w:szCs w:val="24"/>
        </w:rPr>
      </w:pPr>
      <w:r>
        <w:rPr>
          <w:rFonts w:hint="default" w:ascii="Calibri" w:hAnsi="Calibri" w:cs="Calibri"/>
          <w:i/>
          <w:sz w:val="24"/>
          <w:szCs w:val="24"/>
        </w:rPr>
        <w:t>Fig. 1. Unified Dataset Justification (Samples, Imbalance Class Ratios, and Raw Features).</w:t>
      </w:r>
    </w:p>
    <w:p w14:paraId="70BD0988">
      <w:pPr>
        <w:spacing w:before="360" w:after="120"/>
        <w:rPr>
          <w:rFonts w:hint="default" w:ascii="Calibri" w:hAnsi="Calibri" w:cs="Calibri"/>
          <w:sz w:val="24"/>
          <w:szCs w:val="24"/>
        </w:rPr>
      </w:pPr>
      <w:r>
        <w:rPr>
          <w:rFonts w:hint="default" w:ascii="Calibri" w:hAnsi="Calibri" w:cs="Calibri"/>
          <w:b/>
          <w:color w:val="0F172A"/>
          <w:sz w:val="24"/>
          <w:szCs w:val="24"/>
        </w:rPr>
        <w:t>II. PREPROCESSING PIPELINES &amp; FEATURE COMPRESSION</w:t>
      </w:r>
    </w:p>
    <w:p w14:paraId="1106F12F">
      <w:pPr>
        <w:rPr>
          <w:rFonts w:hint="default" w:ascii="Calibri" w:hAnsi="Calibri" w:cs="Calibri"/>
          <w:sz w:val="24"/>
          <w:szCs w:val="24"/>
        </w:rPr>
      </w:pPr>
      <w:r>
        <w:rPr>
          <w:rFonts w:hint="default" w:ascii="Calibri" w:hAnsi="Calibri" w:cs="Calibri"/>
          <w:sz w:val="24"/>
          <w:szCs w:val="24"/>
        </w:rPr>
        <w:t>We designed two distinct preprocessing pipelines to evaluate the physical impacts of order-of-operations on classification accuracy:</w:t>
      </w:r>
      <w:r>
        <w:rPr>
          <w:rFonts w:hint="default" w:ascii="Calibri" w:hAnsi="Calibri" w:cs="Calibri"/>
          <w:sz w:val="24"/>
          <w:szCs w:val="24"/>
        </w:rPr>
        <w:br w:type="textWrapping"/>
      </w:r>
      <w:r>
        <w:rPr>
          <w:rFonts w:hint="default" w:ascii="Calibri" w:hAnsi="Calibri" w:cs="Calibri"/>
          <w:sz w:val="24"/>
          <w:szCs w:val="24"/>
        </w:rPr>
        <w:t>1. Pipeline A (Signal Quality Emphasis): Raw EEG -&gt; Bandpass Filtering -&gt; Statistical Feature Extraction -&gt; Simple Imputer.</w:t>
      </w:r>
      <w:r>
        <w:rPr>
          <w:rFonts w:hint="default" w:ascii="Calibri" w:hAnsi="Calibri" w:cs="Calibri"/>
          <w:sz w:val="24"/>
          <w:szCs w:val="24"/>
        </w:rPr>
        <w:br w:type="textWrapping"/>
      </w:r>
      <w:r>
        <w:rPr>
          <w:rFonts w:hint="default" w:ascii="Calibri" w:hAnsi="Calibri" w:cs="Calibri"/>
          <w:sz w:val="24"/>
          <w:szCs w:val="24"/>
        </w:rPr>
        <w:t>2. Pipeline B (Representation &amp; PCA): Raw EEG -&gt; Statistical Feature Extraction -&gt; Simple Imputer -&gt; Standard Scaling -&gt; PCA -&gt; Simple Imputer.</w:t>
      </w:r>
    </w:p>
    <w:p w14:paraId="69CEDF99">
      <w:pPr>
        <w:rPr>
          <w:rFonts w:hint="default" w:ascii="Calibri" w:hAnsi="Calibri" w:cs="Calibri"/>
          <w:sz w:val="24"/>
          <w:szCs w:val="24"/>
        </w:rPr>
      </w:pPr>
      <w:r>
        <w:rPr>
          <w:rFonts w:hint="default" w:ascii="Calibri" w:hAnsi="Calibri" w:cs="Calibri"/>
          <w:b/>
          <w:sz w:val="24"/>
          <w:szCs w:val="24"/>
        </w:rPr>
        <w:t>A. Dynamic Feature Compression Analysis</w:t>
      </w:r>
    </w:p>
    <w:p w14:paraId="146AD381">
      <w:pPr>
        <w:rPr>
          <w:rFonts w:hint="default" w:ascii="Calibri" w:hAnsi="Calibri" w:cs="Calibri"/>
          <w:sz w:val="24"/>
          <w:szCs w:val="24"/>
        </w:rPr>
      </w:pPr>
      <w:r>
        <w:rPr>
          <w:rFonts w:hint="default" w:ascii="Calibri" w:hAnsi="Calibri" w:cs="Calibri"/>
          <w:sz w:val="24"/>
          <w:szCs w:val="24"/>
        </w:rPr>
        <w:t>To collapse noisy time-series segments into mathematically stable vectors, our custom extraction engine summarizes raw waveforms into exactly 6 clinical statistical moments: Mean, Standard Deviation, Maximum, Minimum, Skewness, and Kurtosis. For Dataset 2, this is applied chronologically across 5 distinct sub-windows (5 windows x 6 stats = 30 features), preserving chronological sequence. For Dataset 3, this is applied across 23 physical electrode channels (23 channels x 6 stats = 138 features), retaining scalp layout properties.</w:t>
      </w:r>
    </w:p>
    <w:p w14:paraId="58B5A55C">
      <w:pPr>
        <w:rPr>
          <w:rFonts w:hint="default" w:ascii="Calibri" w:hAnsi="Calibri" w:cs="Calibri"/>
          <w:sz w:val="24"/>
          <w:szCs w:val="24"/>
        </w:rPr>
      </w:pPr>
      <w:r>
        <w:rPr>
          <w:rFonts w:hint="default" w:ascii="Calibri" w:hAnsi="Calibri" w:cs="Calibri"/>
          <w:sz w:val="24"/>
          <w:szCs w:val="24"/>
        </w:rPr>
        <w:drawing>
          <wp:inline distT="0" distB="0" distL="114300" distR="114300">
            <wp:extent cx="4572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667000"/>
                    </a:xfrm>
                    <a:prstGeom prst="rect">
                      <a:avLst/>
                    </a:prstGeom>
                  </pic:spPr>
                </pic:pic>
              </a:graphicData>
            </a:graphic>
          </wp:inline>
        </w:drawing>
      </w:r>
    </w:p>
    <w:p w14:paraId="3B6C1F7C">
      <w:pPr>
        <w:spacing w:after="240"/>
        <w:jc w:val="center"/>
        <w:rPr>
          <w:rFonts w:hint="default" w:ascii="Calibri" w:hAnsi="Calibri" w:cs="Calibri"/>
          <w:sz w:val="24"/>
          <w:szCs w:val="24"/>
        </w:rPr>
      </w:pPr>
      <w:r>
        <w:rPr>
          <w:rFonts w:hint="default" w:ascii="Calibri" w:hAnsi="Calibri" w:cs="Calibri"/>
          <w:i/>
          <w:sz w:val="24"/>
          <w:szCs w:val="24"/>
        </w:rPr>
        <w:t>Fig. 2. Feature Compression Analysis: Dimension reduction from raw arrays to pipeline representations.</w:t>
      </w:r>
    </w:p>
    <w:p w14:paraId="0A2E5F7F">
      <w:pPr>
        <w:spacing w:before="360" w:after="120"/>
        <w:rPr>
          <w:rFonts w:hint="default" w:ascii="Calibri" w:hAnsi="Calibri" w:cs="Calibri"/>
          <w:sz w:val="24"/>
          <w:szCs w:val="24"/>
        </w:rPr>
      </w:pPr>
      <w:r>
        <w:rPr>
          <w:rFonts w:hint="default" w:ascii="Calibri" w:hAnsi="Calibri" w:cs="Calibri"/>
          <w:b/>
          <w:color w:val="0F172A"/>
          <w:sz w:val="24"/>
          <w:szCs w:val="24"/>
        </w:rPr>
        <w:t>III. BASELINE CLASSIFIER FORMULATION &amp; EMPIRICAL RESULTS</w:t>
      </w:r>
    </w:p>
    <w:p w14:paraId="01BAD025">
      <w:pPr>
        <w:rPr>
          <w:rFonts w:hint="default" w:ascii="Calibri" w:hAnsi="Calibri" w:cs="Calibri"/>
          <w:sz w:val="24"/>
          <w:szCs w:val="24"/>
        </w:rPr>
      </w:pPr>
      <w:r>
        <w:rPr>
          <w:rFonts w:hint="default" w:ascii="Calibri" w:hAnsi="Calibri" w:cs="Calibri"/>
          <w:sz w:val="24"/>
          <w:szCs w:val="24"/>
        </w:rPr>
        <w:t>We utilize standard Logistic Regression as our baseline linear model. The probability that an EEG segment x belongs to a seizure episode (y=1) is modeled via the sigmoid activation function:</w:t>
      </w:r>
      <w:r>
        <w:rPr>
          <w:rFonts w:hint="default" w:ascii="Calibri" w:hAnsi="Calibri" w:cs="Calibri"/>
          <w:sz w:val="24"/>
          <w:szCs w:val="24"/>
        </w:rPr>
        <w:br w:type="textWrapping"/>
      </w:r>
      <w:r>
        <w:rPr>
          <w:rFonts w:hint="default" w:ascii="Calibri" w:hAnsi="Calibri" w:cs="Calibri"/>
          <w:sz w:val="24"/>
          <w:szCs w:val="24"/>
        </w:rPr>
        <w:t>P(y=1|x) = 1 / (1 + e^-(beta_0 + beta^T * x))</w:t>
      </w:r>
      <w:r>
        <w:rPr>
          <w:rFonts w:hint="default" w:ascii="Calibri" w:hAnsi="Calibri" w:cs="Calibri"/>
          <w:sz w:val="24"/>
          <w:szCs w:val="24"/>
        </w:rPr>
        <w:br w:type="textWrapping"/>
      </w:r>
      <w:r>
        <w:rPr>
          <w:rFonts w:hint="default" w:ascii="Calibri" w:hAnsi="Calibri" w:cs="Calibri"/>
          <w:sz w:val="24"/>
          <w:szCs w:val="24"/>
        </w:rPr>
        <w:t>Optimized by minimizing the Binary Cross-Entropy (BCE) loss function across all training samples.</w:t>
      </w:r>
    </w:p>
    <w:p w14:paraId="14476A6E">
      <w:pPr>
        <w:rPr>
          <w:rFonts w:hint="default" w:ascii="Calibri" w:hAnsi="Calibri" w:cs="Calibri"/>
          <w:sz w:val="24"/>
          <w:szCs w:val="24"/>
        </w:rPr>
      </w:pPr>
      <w:r>
        <w:rPr>
          <w:rFonts w:hint="default" w:ascii="Calibri" w:hAnsi="Calibri" w:cs="Calibri"/>
          <w:b/>
          <w:sz w:val="24"/>
          <w:szCs w:val="24"/>
        </w:rPr>
        <w:t>TABLE I. BASELINE EMPIRICAL PERFORMANCE (NO IMBALANCE HANDLING)</w:t>
      </w:r>
    </w:p>
    <w:tbl>
      <w:tblPr>
        <w:tblStyle w:val="1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14722F75">
        <w:tblPrEx>
          <w:tblCellMar>
            <w:top w:w="0" w:type="dxa"/>
            <w:left w:w="108" w:type="dxa"/>
            <w:bottom w:w="0" w:type="dxa"/>
            <w:right w:w="108" w:type="dxa"/>
          </w:tblCellMar>
        </w:tblPrEx>
        <w:trPr>
          <w:jc w:val="center"/>
        </w:trPr>
        <w:tc>
          <w:tcPr>
            <w:tcW w:w="1872" w:type="dxa"/>
            <w:shd w:val="clear" w:color="auto" w:fill="0F172A"/>
            <w:tcMar>
              <w:top w:w="100" w:type="dxa"/>
              <w:left w:w="150" w:type="dxa"/>
              <w:bottom w:w="100" w:type="dxa"/>
              <w:right w:w="150" w:type="dxa"/>
            </w:tcMar>
          </w:tcPr>
          <w:p w14:paraId="56894C1F">
            <w:pPr>
              <w:rPr>
                <w:rFonts w:hint="default" w:ascii="Calibri" w:hAnsi="Calibri" w:cs="Calibri"/>
                <w:sz w:val="24"/>
                <w:szCs w:val="24"/>
              </w:rPr>
            </w:pPr>
            <w:r>
              <w:rPr>
                <w:rFonts w:hint="default" w:ascii="Calibri" w:hAnsi="Calibri" w:cs="Calibri"/>
                <w:b/>
                <w:color w:val="FFFFFF"/>
                <w:sz w:val="24"/>
                <w:szCs w:val="24"/>
              </w:rPr>
              <w:t>Dataset</w:t>
            </w:r>
          </w:p>
        </w:tc>
        <w:tc>
          <w:tcPr>
            <w:tcW w:w="1872" w:type="dxa"/>
            <w:shd w:val="clear" w:color="auto" w:fill="0F172A"/>
            <w:tcMar>
              <w:top w:w="100" w:type="dxa"/>
              <w:left w:w="150" w:type="dxa"/>
              <w:bottom w:w="100" w:type="dxa"/>
              <w:right w:w="150" w:type="dxa"/>
            </w:tcMar>
          </w:tcPr>
          <w:p w14:paraId="0F1E671B">
            <w:pPr>
              <w:rPr>
                <w:rFonts w:hint="default" w:ascii="Calibri" w:hAnsi="Calibri" w:cs="Calibri"/>
                <w:sz w:val="24"/>
                <w:szCs w:val="24"/>
              </w:rPr>
            </w:pPr>
            <w:r>
              <w:rPr>
                <w:rFonts w:hint="default" w:ascii="Calibri" w:hAnsi="Calibri" w:cs="Calibri"/>
                <w:b/>
                <w:color w:val="FFFFFF"/>
                <w:sz w:val="24"/>
                <w:szCs w:val="24"/>
              </w:rPr>
              <w:t>Pipeline</w:t>
            </w:r>
          </w:p>
        </w:tc>
        <w:tc>
          <w:tcPr>
            <w:tcW w:w="1872" w:type="dxa"/>
            <w:shd w:val="clear" w:color="auto" w:fill="0F172A"/>
            <w:tcMar>
              <w:top w:w="100" w:type="dxa"/>
              <w:left w:w="150" w:type="dxa"/>
              <w:bottom w:w="100" w:type="dxa"/>
              <w:right w:w="150" w:type="dxa"/>
            </w:tcMar>
          </w:tcPr>
          <w:p w14:paraId="7F14AD2C">
            <w:pPr>
              <w:rPr>
                <w:rFonts w:hint="default" w:ascii="Calibri" w:hAnsi="Calibri" w:cs="Calibri"/>
                <w:sz w:val="24"/>
                <w:szCs w:val="24"/>
              </w:rPr>
            </w:pPr>
            <w:r>
              <w:rPr>
                <w:rFonts w:hint="default" w:ascii="Calibri" w:hAnsi="Calibri" w:cs="Calibri"/>
                <w:b/>
                <w:color w:val="FFFFFF"/>
                <w:sz w:val="24"/>
                <w:szCs w:val="24"/>
              </w:rPr>
              <w:t>Accuracy</w:t>
            </w:r>
          </w:p>
        </w:tc>
        <w:tc>
          <w:tcPr>
            <w:tcW w:w="1872" w:type="dxa"/>
            <w:shd w:val="clear" w:color="auto" w:fill="0F172A"/>
            <w:tcMar>
              <w:top w:w="100" w:type="dxa"/>
              <w:left w:w="150" w:type="dxa"/>
              <w:bottom w:w="100" w:type="dxa"/>
              <w:right w:w="150" w:type="dxa"/>
            </w:tcMar>
          </w:tcPr>
          <w:p w14:paraId="5515744A">
            <w:pPr>
              <w:rPr>
                <w:rFonts w:hint="default" w:ascii="Calibri" w:hAnsi="Calibri" w:cs="Calibri"/>
                <w:sz w:val="24"/>
                <w:szCs w:val="24"/>
              </w:rPr>
            </w:pPr>
            <w:r>
              <w:rPr>
                <w:rFonts w:hint="default" w:ascii="Calibri" w:hAnsi="Calibri" w:cs="Calibri"/>
                <w:b/>
                <w:color w:val="FFFFFF"/>
                <w:sz w:val="24"/>
                <w:szCs w:val="24"/>
              </w:rPr>
              <w:t>F1-Score</w:t>
            </w:r>
          </w:p>
        </w:tc>
        <w:tc>
          <w:tcPr>
            <w:tcW w:w="1872" w:type="dxa"/>
            <w:shd w:val="clear" w:color="auto" w:fill="0F172A"/>
            <w:tcMar>
              <w:top w:w="100" w:type="dxa"/>
              <w:left w:w="150" w:type="dxa"/>
              <w:bottom w:w="100" w:type="dxa"/>
              <w:right w:w="150" w:type="dxa"/>
            </w:tcMar>
          </w:tcPr>
          <w:p w14:paraId="2AD8C680">
            <w:pPr>
              <w:rPr>
                <w:rFonts w:hint="default" w:ascii="Calibri" w:hAnsi="Calibri" w:cs="Calibri"/>
                <w:sz w:val="24"/>
                <w:szCs w:val="24"/>
              </w:rPr>
            </w:pPr>
            <w:r>
              <w:rPr>
                <w:rFonts w:hint="default" w:ascii="Calibri" w:hAnsi="Calibri" w:cs="Calibri"/>
                <w:b/>
                <w:color w:val="FFFFFF"/>
                <w:sz w:val="24"/>
                <w:szCs w:val="24"/>
              </w:rPr>
              <w:t>PR-AUC</w:t>
            </w:r>
          </w:p>
        </w:tc>
      </w:tr>
      <w:tr w14:paraId="55BAF95D">
        <w:tblPrEx>
          <w:tblCellMar>
            <w:top w:w="0" w:type="dxa"/>
            <w:left w:w="108" w:type="dxa"/>
            <w:bottom w:w="0" w:type="dxa"/>
            <w:right w:w="108" w:type="dxa"/>
          </w:tblCellMar>
        </w:tblPrEx>
        <w:trPr>
          <w:jc w:val="center"/>
        </w:trPr>
        <w:tc>
          <w:tcPr>
            <w:tcW w:w="1872" w:type="dxa"/>
            <w:tcMar>
              <w:top w:w="100" w:type="dxa"/>
              <w:left w:w="150" w:type="dxa"/>
              <w:bottom w:w="100" w:type="dxa"/>
              <w:right w:w="150" w:type="dxa"/>
            </w:tcMar>
          </w:tcPr>
          <w:p w14:paraId="0F1580A0">
            <w:pPr>
              <w:rPr>
                <w:rFonts w:hint="default" w:ascii="Calibri" w:hAnsi="Calibri" w:cs="Calibri"/>
                <w:sz w:val="24"/>
                <w:szCs w:val="24"/>
              </w:rPr>
            </w:pPr>
            <w:r>
              <w:rPr>
                <w:rFonts w:hint="default" w:ascii="Calibri" w:hAnsi="Calibri" w:cs="Calibri"/>
                <w:sz w:val="24"/>
                <w:szCs w:val="24"/>
              </w:rPr>
              <w:t>BEED Tabular</w:t>
            </w:r>
          </w:p>
        </w:tc>
        <w:tc>
          <w:tcPr>
            <w:tcW w:w="1872" w:type="dxa"/>
            <w:tcMar>
              <w:top w:w="100" w:type="dxa"/>
              <w:left w:w="150" w:type="dxa"/>
              <w:bottom w:w="100" w:type="dxa"/>
              <w:right w:w="150" w:type="dxa"/>
            </w:tcMar>
          </w:tcPr>
          <w:p w14:paraId="5F468736">
            <w:pPr>
              <w:rPr>
                <w:rFonts w:hint="default" w:ascii="Calibri" w:hAnsi="Calibri" w:cs="Calibri"/>
                <w:sz w:val="24"/>
                <w:szCs w:val="24"/>
              </w:rPr>
            </w:pPr>
            <w:r>
              <w:rPr>
                <w:rFonts w:hint="default" w:ascii="Calibri" w:hAnsi="Calibri" w:cs="Calibri"/>
                <w:sz w:val="24"/>
                <w:szCs w:val="24"/>
              </w:rPr>
              <w:t>Pipeline A</w:t>
            </w:r>
          </w:p>
        </w:tc>
        <w:tc>
          <w:tcPr>
            <w:tcW w:w="1872" w:type="dxa"/>
            <w:tcMar>
              <w:top w:w="100" w:type="dxa"/>
              <w:left w:w="150" w:type="dxa"/>
              <w:bottom w:w="100" w:type="dxa"/>
              <w:right w:w="150" w:type="dxa"/>
            </w:tcMar>
          </w:tcPr>
          <w:p w14:paraId="2D9E5BC3">
            <w:pPr>
              <w:rPr>
                <w:rFonts w:hint="default" w:ascii="Calibri" w:hAnsi="Calibri" w:cs="Calibri"/>
                <w:sz w:val="24"/>
                <w:szCs w:val="24"/>
              </w:rPr>
            </w:pPr>
            <w:r>
              <w:rPr>
                <w:rFonts w:hint="default" w:ascii="Calibri" w:hAnsi="Calibri" w:cs="Calibri"/>
                <w:sz w:val="24"/>
                <w:szCs w:val="24"/>
              </w:rPr>
              <w:t>90.1%</w:t>
            </w:r>
          </w:p>
        </w:tc>
        <w:tc>
          <w:tcPr>
            <w:tcW w:w="1872" w:type="dxa"/>
            <w:tcMar>
              <w:top w:w="100" w:type="dxa"/>
              <w:left w:w="150" w:type="dxa"/>
              <w:bottom w:w="100" w:type="dxa"/>
              <w:right w:w="150" w:type="dxa"/>
            </w:tcMar>
          </w:tcPr>
          <w:p w14:paraId="29DDDC1B">
            <w:pPr>
              <w:rPr>
                <w:rFonts w:hint="default" w:ascii="Calibri" w:hAnsi="Calibri" w:cs="Calibri"/>
                <w:sz w:val="24"/>
                <w:szCs w:val="24"/>
              </w:rPr>
            </w:pPr>
            <w:r>
              <w:rPr>
                <w:rFonts w:hint="default" w:ascii="Calibri" w:hAnsi="Calibri" w:cs="Calibri"/>
                <w:sz w:val="24"/>
                <w:szCs w:val="24"/>
              </w:rPr>
              <w:t>0.885</w:t>
            </w:r>
          </w:p>
        </w:tc>
        <w:tc>
          <w:tcPr>
            <w:tcW w:w="1872" w:type="dxa"/>
            <w:tcMar>
              <w:top w:w="100" w:type="dxa"/>
              <w:left w:w="150" w:type="dxa"/>
              <w:bottom w:w="100" w:type="dxa"/>
              <w:right w:w="150" w:type="dxa"/>
            </w:tcMar>
          </w:tcPr>
          <w:p w14:paraId="525BB2D8">
            <w:pPr>
              <w:rPr>
                <w:rFonts w:hint="default" w:ascii="Calibri" w:hAnsi="Calibri" w:cs="Calibri"/>
                <w:sz w:val="24"/>
                <w:szCs w:val="24"/>
              </w:rPr>
            </w:pPr>
            <w:r>
              <w:rPr>
                <w:rFonts w:hint="default" w:ascii="Calibri" w:hAnsi="Calibri" w:cs="Calibri"/>
                <w:sz w:val="24"/>
                <w:szCs w:val="24"/>
              </w:rPr>
              <w:t>0.941</w:t>
            </w:r>
          </w:p>
        </w:tc>
      </w:tr>
      <w:tr w14:paraId="526B38F3">
        <w:tblPrEx>
          <w:tblCellMar>
            <w:top w:w="0" w:type="dxa"/>
            <w:left w:w="108" w:type="dxa"/>
            <w:bottom w:w="0" w:type="dxa"/>
            <w:right w:w="108" w:type="dxa"/>
          </w:tblCellMar>
        </w:tblPrEx>
        <w:trPr>
          <w:jc w:val="center"/>
        </w:trPr>
        <w:tc>
          <w:tcPr>
            <w:tcW w:w="1872" w:type="dxa"/>
            <w:shd w:val="clear" w:color="auto" w:fill="F8FAFC"/>
            <w:tcMar>
              <w:top w:w="100" w:type="dxa"/>
              <w:left w:w="150" w:type="dxa"/>
              <w:bottom w:w="100" w:type="dxa"/>
              <w:right w:w="150" w:type="dxa"/>
            </w:tcMar>
          </w:tcPr>
          <w:p w14:paraId="6761379B">
            <w:pPr>
              <w:rPr>
                <w:rFonts w:hint="default" w:ascii="Calibri" w:hAnsi="Calibri" w:cs="Calibri"/>
                <w:sz w:val="24"/>
                <w:szCs w:val="24"/>
              </w:rPr>
            </w:pPr>
            <w:r>
              <w:rPr>
                <w:rFonts w:hint="default" w:ascii="Calibri" w:hAnsi="Calibri" w:cs="Calibri"/>
                <w:sz w:val="24"/>
                <w:szCs w:val="24"/>
              </w:rPr>
              <w:t>BEED Tabular</w:t>
            </w:r>
          </w:p>
        </w:tc>
        <w:tc>
          <w:tcPr>
            <w:tcW w:w="1872" w:type="dxa"/>
            <w:shd w:val="clear" w:color="auto" w:fill="F8FAFC"/>
            <w:tcMar>
              <w:top w:w="100" w:type="dxa"/>
              <w:left w:w="150" w:type="dxa"/>
              <w:bottom w:w="100" w:type="dxa"/>
              <w:right w:w="150" w:type="dxa"/>
            </w:tcMar>
          </w:tcPr>
          <w:p w14:paraId="68ABC2F6">
            <w:pPr>
              <w:rPr>
                <w:rFonts w:hint="default" w:ascii="Calibri" w:hAnsi="Calibri" w:cs="Calibri"/>
                <w:sz w:val="24"/>
                <w:szCs w:val="24"/>
              </w:rPr>
            </w:pPr>
            <w:r>
              <w:rPr>
                <w:rFonts w:hint="default" w:ascii="Calibri" w:hAnsi="Calibri" w:cs="Calibri"/>
                <w:sz w:val="24"/>
                <w:szCs w:val="24"/>
              </w:rPr>
              <w:t>Pipeline B</w:t>
            </w:r>
          </w:p>
        </w:tc>
        <w:tc>
          <w:tcPr>
            <w:tcW w:w="1872" w:type="dxa"/>
            <w:shd w:val="clear" w:color="auto" w:fill="F8FAFC"/>
            <w:tcMar>
              <w:top w:w="100" w:type="dxa"/>
              <w:left w:w="150" w:type="dxa"/>
              <w:bottom w:w="100" w:type="dxa"/>
              <w:right w:w="150" w:type="dxa"/>
            </w:tcMar>
          </w:tcPr>
          <w:p w14:paraId="6C27FF3E">
            <w:pPr>
              <w:rPr>
                <w:rFonts w:hint="default" w:ascii="Calibri" w:hAnsi="Calibri" w:cs="Calibri"/>
                <w:sz w:val="24"/>
                <w:szCs w:val="24"/>
              </w:rPr>
            </w:pPr>
            <w:r>
              <w:rPr>
                <w:rFonts w:hint="default" w:ascii="Calibri" w:hAnsi="Calibri" w:cs="Calibri"/>
                <w:sz w:val="24"/>
                <w:szCs w:val="24"/>
              </w:rPr>
              <w:t>90.3%</w:t>
            </w:r>
          </w:p>
        </w:tc>
        <w:tc>
          <w:tcPr>
            <w:tcW w:w="1872" w:type="dxa"/>
            <w:shd w:val="clear" w:color="auto" w:fill="F8FAFC"/>
            <w:tcMar>
              <w:top w:w="100" w:type="dxa"/>
              <w:left w:w="150" w:type="dxa"/>
              <w:bottom w:w="100" w:type="dxa"/>
              <w:right w:w="150" w:type="dxa"/>
            </w:tcMar>
          </w:tcPr>
          <w:p w14:paraId="5D310221">
            <w:pPr>
              <w:rPr>
                <w:rFonts w:hint="default" w:ascii="Calibri" w:hAnsi="Calibri" w:cs="Calibri"/>
                <w:sz w:val="24"/>
                <w:szCs w:val="24"/>
              </w:rPr>
            </w:pPr>
            <w:r>
              <w:rPr>
                <w:rFonts w:hint="default" w:ascii="Calibri" w:hAnsi="Calibri" w:cs="Calibri"/>
                <w:sz w:val="24"/>
                <w:szCs w:val="24"/>
              </w:rPr>
              <w:t>0.888</w:t>
            </w:r>
          </w:p>
        </w:tc>
        <w:tc>
          <w:tcPr>
            <w:tcW w:w="1872" w:type="dxa"/>
            <w:shd w:val="clear" w:color="auto" w:fill="F8FAFC"/>
            <w:tcMar>
              <w:top w:w="100" w:type="dxa"/>
              <w:left w:w="150" w:type="dxa"/>
              <w:bottom w:w="100" w:type="dxa"/>
              <w:right w:w="150" w:type="dxa"/>
            </w:tcMar>
          </w:tcPr>
          <w:p w14:paraId="16B7FF65">
            <w:pPr>
              <w:rPr>
                <w:rFonts w:hint="default" w:ascii="Calibri" w:hAnsi="Calibri" w:cs="Calibri"/>
                <w:sz w:val="24"/>
                <w:szCs w:val="24"/>
              </w:rPr>
            </w:pPr>
            <w:r>
              <w:rPr>
                <w:rFonts w:hint="default" w:ascii="Calibri" w:hAnsi="Calibri" w:cs="Calibri"/>
                <w:sz w:val="24"/>
                <w:szCs w:val="24"/>
              </w:rPr>
              <w:t>0.940</w:t>
            </w:r>
          </w:p>
        </w:tc>
      </w:tr>
      <w:tr w14:paraId="2615B9EA">
        <w:tblPrEx>
          <w:tblCellMar>
            <w:top w:w="0" w:type="dxa"/>
            <w:left w:w="108" w:type="dxa"/>
            <w:bottom w:w="0" w:type="dxa"/>
            <w:right w:w="108" w:type="dxa"/>
          </w:tblCellMar>
        </w:tblPrEx>
        <w:trPr>
          <w:jc w:val="center"/>
        </w:trPr>
        <w:tc>
          <w:tcPr>
            <w:tcW w:w="1872" w:type="dxa"/>
            <w:tcMar>
              <w:top w:w="100" w:type="dxa"/>
              <w:left w:w="150" w:type="dxa"/>
              <w:bottom w:w="100" w:type="dxa"/>
              <w:right w:w="150" w:type="dxa"/>
            </w:tcMar>
          </w:tcPr>
          <w:p w14:paraId="46C24F31">
            <w:pPr>
              <w:rPr>
                <w:rFonts w:hint="default" w:ascii="Calibri" w:hAnsi="Calibri" w:cs="Calibri"/>
                <w:sz w:val="24"/>
                <w:szCs w:val="24"/>
              </w:rPr>
            </w:pPr>
            <w:r>
              <w:rPr>
                <w:rFonts w:hint="default" w:ascii="Calibri" w:hAnsi="Calibri" w:cs="Calibri"/>
                <w:sz w:val="24"/>
                <w:szCs w:val="24"/>
              </w:rPr>
              <w:t>Recognition (Flat)</w:t>
            </w:r>
          </w:p>
        </w:tc>
        <w:tc>
          <w:tcPr>
            <w:tcW w:w="1872" w:type="dxa"/>
            <w:tcMar>
              <w:top w:w="100" w:type="dxa"/>
              <w:left w:w="150" w:type="dxa"/>
              <w:bottom w:w="100" w:type="dxa"/>
              <w:right w:w="150" w:type="dxa"/>
            </w:tcMar>
          </w:tcPr>
          <w:p w14:paraId="259D2583">
            <w:pPr>
              <w:rPr>
                <w:rFonts w:hint="default" w:ascii="Calibri" w:hAnsi="Calibri" w:cs="Calibri"/>
                <w:sz w:val="24"/>
                <w:szCs w:val="24"/>
              </w:rPr>
            </w:pPr>
            <w:r>
              <w:rPr>
                <w:rFonts w:hint="default" w:ascii="Calibri" w:hAnsi="Calibri" w:cs="Calibri"/>
                <w:sz w:val="24"/>
                <w:szCs w:val="24"/>
              </w:rPr>
              <w:t>Pipeline A</w:t>
            </w:r>
          </w:p>
        </w:tc>
        <w:tc>
          <w:tcPr>
            <w:tcW w:w="1872" w:type="dxa"/>
            <w:tcMar>
              <w:top w:w="100" w:type="dxa"/>
              <w:left w:w="150" w:type="dxa"/>
              <w:bottom w:w="100" w:type="dxa"/>
              <w:right w:w="150" w:type="dxa"/>
            </w:tcMar>
          </w:tcPr>
          <w:p w14:paraId="61C18D03">
            <w:pPr>
              <w:rPr>
                <w:rFonts w:hint="default" w:ascii="Calibri" w:hAnsi="Calibri" w:cs="Calibri"/>
                <w:sz w:val="24"/>
                <w:szCs w:val="24"/>
              </w:rPr>
            </w:pPr>
            <w:r>
              <w:rPr>
                <w:rFonts w:hint="default" w:ascii="Calibri" w:hAnsi="Calibri" w:cs="Calibri"/>
                <w:sz w:val="24"/>
                <w:szCs w:val="24"/>
              </w:rPr>
              <w:t>96.4%</w:t>
            </w:r>
          </w:p>
        </w:tc>
        <w:tc>
          <w:tcPr>
            <w:tcW w:w="1872" w:type="dxa"/>
            <w:tcMar>
              <w:top w:w="100" w:type="dxa"/>
              <w:left w:w="150" w:type="dxa"/>
              <w:bottom w:w="100" w:type="dxa"/>
              <w:right w:w="150" w:type="dxa"/>
            </w:tcMar>
          </w:tcPr>
          <w:p w14:paraId="59975E98">
            <w:pPr>
              <w:rPr>
                <w:rFonts w:hint="default" w:ascii="Calibri" w:hAnsi="Calibri" w:cs="Calibri"/>
                <w:sz w:val="24"/>
                <w:szCs w:val="24"/>
              </w:rPr>
            </w:pPr>
            <w:r>
              <w:rPr>
                <w:rFonts w:hint="default" w:ascii="Calibri" w:hAnsi="Calibri" w:cs="Calibri"/>
                <w:sz w:val="24"/>
                <w:szCs w:val="24"/>
              </w:rPr>
              <w:t>0.910</w:t>
            </w:r>
          </w:p>
        </w:tc>
        <w:tc>
          <w:tcPr>
            <w:tcW w:w="1872" w:type="dxa"/>
            <w:tcMar>
              <w:top w:w="100" w:type="dxa"/>
              <w:left w:w="150" w:type="dxa"/>
              <w:bottom w:w="100" w:type="dxa"/>
              <w:right w:w="150" w:type="dxa"/>
            </w:tcMar>
          </w:tcPr>
          <w:p w14:paraId="200A02BD">
            <w:pPr>
              <w:rPr>
                <w:rFonts w:hint="default" w:ascii="Calibri" w:hAnsi="Calibri" w:cs="Calibri"/>
                <w:sz w:val="24"/>
                <w:szCs w:val="24"/>
              </w:rPr>
            </w:pPr>
            <w:r>
              <w:rPr>
                <w:rFonts w:hint="default" w:ascii="Calibri" w:hAnsi="Calibri" w:cs="Calibri"/>
                <w:sz w:val="24"/>
                <w:szCs w:val="24"/>
              </w:rPr>
              <w:t>0.947</w:t>
            </w:r>
          </w:p>
        </w:tc>
      </w:tr>
      <w:tr w14:paraId="05E17B28">
        <w:tblPrEx>
          <w:tblCellMar>
            <w:top w:w="0" w:type="dxa"/>
            <w:left w:w="108" w:type="dxa"/>
            <w:bottom w:w="0" w:type="dxa"/>
            <w:right w:w="108" w:type="dxa"/>
          </w:tblCellMar>
        </w:tblPrEx>
        <w:trPr>
          <w:jc w:val="center"/>
        </w:trPr>
        <w:tc>
          <w:tcPr>
            <w:tcW w:w="1872" w:type="dxa"/>
            <w:shd w:val="clear" w:color="auto" w:fill="F8FAFC"/>
            <w:tcMar>
              <w:top w:w="100" w:type="dxa"/>
              <w:left w:w="150" w:type="dxa"/>
              <w:bottom w:w="100" w:type="dxa"/>
              <w:right w:w="150" w:type="dxa"/>
            </w:tcMar>
          </w:tcPr>
          <w:p w14:paraId="50612A0E">
            <w:pPr>
              <w:rPr>
                <w:rFonts w:hint="default" w:ascii="Calibri" w:hAnsi="Calibri" w:cs="Calibri"/>
                <w:sz w:val="24"/>
                <w:szCs w:val="24"/>
              </w:rPr>
            </w:pPr>
            <w:r>
              <w:rPr>
                <w:rFonts w:hint="default" w:ascii="Calibri" w:hAnsi="Calibri" w:cs="Calibri"/>
                <w:sz w:val="24"/>
                <w:szCs w:val="24"/>
              </w:rPr>
              <w:t>Recognition (Flat)</w:t>
            </w:r>
          </w:p>
        </w:tc>
        <w:tc>
          <w:tcPr>
            <w:tcW w:w="1872" w:type="dxa"/>
            <w:shd w:val="clear" w:color="auto" w:fill="F8FAFC"/>
            <w:tcMar>
              <w:top w:w="100" w:type="dxa"/>
              <w:left w:w="150" w:type="dxa"/>
              <w:bottom w:w="100" w:type="dxa"/>
              <w:right w:w="150" w:type="dxa"/>
            </w:tcMar>
          </w:tcPr>
          <w:p w14:paraId="5F82214D">
            <w:pPr>
              <w:rPr>
                <w:rFonts w:hint="default" w:ascii="Calibri" w:hAnsi="Calibri" w:cs="Calibri"/>
                <w:sz w:val="24"/>
                <w:szCs w:val="24"/>
              </w:rPr>
            </w:pPr>
            <w:r>
              <w:rPr>
                <w:rFonts w:hint="default" w:ascii="Calibri" w:hAnsi="Calibri" w:cs="Calibri"/>
                <w:sz w:val="24"/>
                <w:szCs w:val="24"/>
              </w:rPr>
              <w:t>Pipeline B</w:t>
            </w:r>
          </w:p>
        </w:tc>
        <w:tc>
          <w:tcPr>
            <w:tcW w:w="1872" w:type="dxa"/>
            <w:shd w:val="clear" w:color="auto" w:fill="F8FAFC"/>
            <w:tcMar>
              <w:top w:w="100" w:type="dxa"/>
              <w:left w:w="150" w:type="dxa"/>
              <w:bottom w:w="100" w:type="dxa"/>
              <w:right w:w="150" w:type="dxa"/>
            </w:tcMar>
          </w:tcPr>
          <w:p w14:paraId="21249994">
            <w:pPr>
              <w:rPr>
                <w:rFonts w:hint="default" w:ascii="Calibri" w:hAnsi="Calibri" w:cs="Calibri"/>
                <w:sz w:val="24"/>
                <w:szCs w:val="24"/>
              </w:rPr>
            </w:pPr>
            <w:r>
              <w:rPr>
                <w:rFonts w:hint="default" w:ascii="Calibri" w:hAnsi="Calibri" w:cs="Calibri"/>
                <w:sz w:val="24"/>
                <w:szCs w:val="24"/>
              </w:rPr>
              <w:t>96.3%</w:t>
            </w:r>
          </w:p>
        </w:tc>
        <w:tc>
          <w:tcPr>
            <w:tcW w:w="1872" w:type="dxa"/>
            <w:shd w:val="clear" w:color="auto" w:fill="F8FAFC"/>
            <w:tcMar>
              <w:top w:w="100" w:type="dxa"/>
              <w:left w:w="150" w:type="dxa"/>
              <w:bottom w:w="100" w:type="dxa"/>
              <w:right w:w="150" w:type="dxa"/>
            </w:tcMar>
          </w:tcPr>
          <w:p w14:paraId="5CBDC311">
            <w:pPr>
              <w:rPr>
                <w:rFonts w:hint="default" w:ascii="Calibri" w:hAnsi="Calibri" w:cs="Calibri"/>
                <w:sz w:val="24"/>
                <w:szCs w:val="24"/>
              </w:rPr>
            </w:pPr>
            <w:r>
              <w:rPr>
                <w:rFonts w:hint="default" w:ascii="Calibri" w:hAnsi="Calibri" w:cs="Calibri"/>
                <w:sz w:val="24"/>
                <w:szCs w:val="24"/>
              </w:rPr>
              <w:t>0.908</w:t>
            </w:r>
          </w:p>
        </w:tc>
        <w:tc>
          <w:tcPr>
            <w:tcW w:w="1872" w:type="dxa"/>
            <w:shd w:val="clear" w:color="auto" w:fill="F8FAFC"/>
            <w:tcMar>
              <w:top w:w="100" w:type="dxa"/>
              <w:left w:w="150" w:type="dxa"/>
              <w:bottom w:w="100" w:type="dxa"/>
              <w:right w:w="150" w:type="dxa"/>
            </w:tcMar>
          </w:tcPr>
          <w:p w14:paraId="5CE46C63">
            <w:pPr>
              <w:rPr>
                <w:rFonts w:hint="default" w:ascii="Calibri" w:hAnsi="Calibri" w:cs="Calibri"/>
                <w:sz w:val="24"/>
                <w:szCs w:val="24"/>
              </w:rPr>
            </w:pPr>
            <w:r>
              <w:rPr>
                <w:rFonts w:hint="default" w:ascii="Calibri" w:hAnsi="Calibri" w:cs="Calibri"/>
                <w:sz w:val="24"/>
                <w:szCs w:val="24"/>
              </w:rPr>
              <w:t>0.943</w:t>
            </w:r>
          </w:p>
        </w:tc>
      </w:tr>
      <w:tr w14:paraId="7B2068A0">
        <w:tblPrEx>
          <w:tblCellMar>
            <w:top w:w="0" w:type="dxa"/>
            <w:left w:w="108" w:type="dxa"/>
            <w:bottom w:w="0" w:type="dxa"/>
            <w:right w:w="108" w:type="dxa"/>
          </w:tblCellMar>
        </w:tblPrEx>
        <w:trPr>
          <w:jc w:val="center"/>
        </w:trPr>
        <w:tc>
          <w:tcPr>
            <w:tcW w:w="1872" w:type="dxa"/>
            <w:tcMar>
              <w:top w:w="100" w:type="dxa"/>
              <w:left w:w="150" w:type="dxa"/>
              <w:bottom w:w="100" w:type="dxa"/>
              <w:right w:w="150" w:type="dxa"/>
            </w:tcMar>
          </w:tcPr>
          <w:p w14:paraId="31D88298">
            <w:pPr>
              <w:rPr>
                <w:rFonts w:hint="default" w:ascii="Calibri" w:hAnsi="Calibri" w:cs="Calibri"/>
                <w:sz w:val="24"/>
                <w:szCs w:val="24"/>
              </w:rPr>
            </w:pPr>
            <w:r>
              <w:rPr>
                <w:rFonts w:hint="default" w:ascii="Calibri" w:hAnsi="Calibri" w:cs="Calibri"/>
                <w:sz w:val="24"/>
                <w:szCs w:val="24"/>
              </w:rPr>
              <w:t>EEG Analysis (3D)</w:t>
            </w:r>
          </w:p>
        </w:tc>
        <w:tc>
          <w:tcPr>
            <w:tcW w:w="1872" w:type="dxa"/>
            <w:tcMar>
              <w:top w:w="100" w:type="dxa"/>
              <w:left w:w="150" w:type="dxa"/>
              <w:bottom w:w="100" w:type="dxa"/>
              <w:right w:w="150" w:type="dxa"/>
            </w:tcMar>
          </w:tcPr>
          <w:p w14:paraId="0CAAFC93">
            <w:pPr>
              <w:rPr>
                <w:rFonts w:hint="default" w:ascii="Calibri" w:hAnsi="Calibri" w:cs="Calibri"/>
                <w:sz w:val="24"/>
                <w:szCs w:val="24"/>
              </w:rPr>
            </w:pPr>
            <w:r>
              <w:rPr>
                <w:rFonts w:hint="default" w:ascii="Calibri" w:hAnsi="Calibri" w:cs="Calibri"/>
                <w:sz w:val="24"/>
                <w:szCs w:val="24"/>
              </w:rPr>
              <w:t>Pipeline A</w:t>
            </w:r>
          </w:p>
        </w:tc>
        <w:tc>
          <w:tcPr>
            <w:tcW w:w="1872" w:type="dxa"/>
            <w:tcMar>
              <w:top w:w="100" w:type="dxa"/>
              <w:left w:w="150" w:type="dxa"/>
              <w:bottom w:w="100" w:type="dxa"/>
              <w:right w:w="150" w:type="dxa"/>
            </w:tcMar>
          </w:tcPr>
          <w:p w14:paraId="2E683FA3">
            <w:pPr>
              <w:rPr>
                <w:rFonts w:hint="default" w:ascii="Calibri" w:hAnsi="Calibri" w:cs="Calibri"/>
                <w:sz w:val="24"/>
                <w:szCs w:val="24"/>
              </w:rPr>
            </w:pPr>
            <w:r>
              <w:rPr>
                <w:rFonts w:hint="default" w:ascii="Calibri" w:hAnsi="Calibri" w:cs="Calibri"/>
                <w:sz w:val="24"/>
                <w:szCs w:val="24"/>
              </w:rPr>
              <w:t>78.3%</w:t>
            </w:r>
          </w:p>
        </w:tc>
        <w:tc>
          <w:tcPr>
            <w:tcW w:w="1872" w:type="dxa"/>
            <w:tcMar>
              <w:top w:w="100" w:type="dxa"/>
              <w:left w:w="150" w:type="dxa"/>
              <w:bottom w:w="100" w:type="dxa"/>
              <w:right w:w="150" w:type="dxa"/>
            </w:tcMar>
          </w:tcPr>
          <w:p w14:paraId="2ED25FF2">
            <w:pPr>
              <w:rPr>
                <w:rFonts w:hint="default" w:ascii="Calibri" w:hAnsi="Calibri" w:cs="Calibri"/>
                <w:sz w:val="24"/>
                <w:szCs w:val="24"/>
              </w:rPr>
            </w:pPr>
            <w:r>
              <w:rPr>
                <w:rFonts w:hint="default" w:ascii="Calibri" w:hAnsi="Calibri" w:cs="Calibri"/>
                <w:sz w:val="24"/>
                <w:szCs w:val="24"/>
              </w:rPr>
              <w:t>0.005</w:t>
            </w:r>
          </w:p>
        </w:tc>
        <w:tc>
          <w:tcPr>
            <w:tcW w:w="1872" w:type="dxa"/>
            <w:tcMar>
              <w:top w:w="100" w:type="dxa"/>
              <w:left w:w="150" w:type="dxa"/>
              <w:bottom w:w="100" w:type="dxa"/>
              <w:right w:w="150" w:type="dxa"/>
            </w:tcMar>
          </w:tcPr>
          <w:p w14:paraId="6A8AE8A1">
            <w:pPr>
              <w:rPr>
                <w:rFonts w:hint="default" w:ascii="Calibri" w:hAnsi="Calibri" w:cs="Calibri"/>
                <w:sz w:val="24"/>
                <w:szCs w:val="24"/>
              </w:rPr>
            </w:pPr>
            <w:r>
              <w:rPr>
                <w:rFonts w:hint="default" w:ascii="Calibri" w:hAnsi="Calibri" w:cs="Calibri"/>
                <w:sz w:val="24"/>
                <w:szCs w:val="24"/>
              </w:rPr>
              <w:t>0.126</w:t>
            </w:r>
          </w:p>
        </w:tc>
      </w:tr>
      <w:tr w14:paraId="179AA851">
        <w:tblPrEx>
          <w:tblCellMar>
            <w:top w:w="0" w:type="dxa"/>
            <w:left w:w="108" w:type="dxa"/>
            <w:bottom w:w="0" w:type="dxa"/>
            <w:right w:w="108" w:type="dxa"/>
          </w:tblCellMar>
        </w:tblPrEx>
        <w:trPr>
          <w:jc w:val="center"/>
        </w:trPr>
        <w:tc>
          <w:tcPr>
            <w:tcW w:w="1872" w:type="dxa"/>
            <w:shd w:val="clear" w:color="auto" w:fill="F8FAFC"/>
            <w:tcMar>
              <w:top w:w="100" w:type="dxa"/>
              <w:left w:w="150" w:type="dxa"/>
              <w:bottom w:w="100" w:type="dxa"/>
              <w:right w:w="150" w:type="dxa"/>
            </w:tcMar>
          </w:tcPr>
          <w:p w14:paraId="4010D89D">
            <w:pPr>
              <w:rPr>
                <w:rFonts w:hint="default" w:ascii="Calibri" w:hAnsi="Calibri" w:cs="Calibri"/>
                <w:sz w:val="24"/>
                <w:szCs w:val="24"/>
              </w:rPr>
            </w:pPr>
            <w:r>
              <w:rPr>
                <w:rFonts w:hint="default" w:ascii="Calibri" w:hAnsi="Calibri" w:cs="Calibri"/>
                <w:sz w:val="24"/>
                <w:szCs w:val="24"/>
              </w:rPr>
              <w:t>EEG Analysis (3D)</w:t>
            </w:r>
          </w:p>
        </w:tc>
        <w:tc>
          <w:tcPr>
            <w:tcW w:w="1872" w:type="dxa"/>
            <w:shd w:val="clear" w:color="auto" w:fill="F8FAFC"/>
            <w:tcMar>
              <w:top w:w="100" w:type="dxa"/>
              <w:left w:w="150" w:type="dxa"/>
              <w:bottom w:w="100" w:type="dxa"/>
              <w:right w:w="150" w:type="dxa"/>
            </w:tcMar>
          </w:tcPr>
          <w:p w14:paraId="73D042B0">
            <w:pPr>
              <w:rPr>
                <w:rFonts w:hint="default" w:ascii="Calibri" w:hAnsi="Calibri" w:cs="Calibri"/>
                <w:sz w:val="24"/>
                <w:szCs w:val="24"/>
              </w:rPr>
            </w:pPr>
            <w:r>
              <w:rPr>
                <w:rFonts w:hint="default" w:ascii="Calibri" w:hAnsi="Calibri" w:cs="Calibri"/>
                <w:sz w:val="24"/>
                <w:szCs w:val="24"/>
              </w:rPr>
              <w:t>Pipeline B</w:t>
            </w:r>
          </w:p>
        </w:tc>
        <w:tc>
          <w:tcPr>
            <w:tcW w:w="1872" w:type="dxa"/>
            <w:shd w:val="clear" w:color="auto" w:fill="F8FAFC"/>
            <w:tcMar>
              <w:top w:w="100" w:type="dxa"/>
              <w:left w:w="150" w:type="dxa"/>
              <w:bottom w:w="100" w:type="dxa"/>
              <w:right w:w="150" w:type="dxa"/>
            </w:tcMar>
          </w:tcPr>
          <w:p w14:paraId="6FD18D91">
            <w:pPr>
              <w:rPr>
                <w:rFonts w:hint="default" w:ascii="Calibri" w:hAnsi="Calibri" w:cs="Calibri"/>
                <w:sz w:val="24"/>
                <w:szCs w:val="24"/>
              </w:rPr>
            </w:pPr>
            <w:r>
              <w:rPr>
                <w:rFonts w:hint="default" w:ascii="Calibri" w:hAnsi="Calibri" w:cs="Calibri"/>
                <w:sz w:val="24"/>
                <w:szCs w:val="24"/>
              </w:rPr>
              <w:t>78.3%</w:t>
            </w:r>
          </w:p>
        </w:tc>
        <w:tc>
          <w:tcPr>
            <w:tcW w:w="1872" w:type="dxa"/>
            <w:shd w:val="clear" w:color="auto" w:fill="F8FAFC"/>
            <w:tcMar>
              <w:top w:w="100" w:type="dxa"/>
              <w:left w:w="150" w:type="dxa"/>
              <w:bottom w:w="100" w:type="dxa"/>
              <w:right w:w="150" w:type="dxa"/>
            </w:tcMar>
          </w:tcPr>
          <w:p w14:paraId="63BF6439">
            <w:pPr>
              <w:rPr>
                <w:rFonts w:hint="default" w:ascii="Calibri" w:hAnsi="Calibri" w:cs="Calibri"/>
                <w:sz w:val="24"/>
                <w:szCs w:val="24"/>
              </w:rPr>
            </w:pPr>
            <w:r>
              <w:rPr>
                <w:rFonts w:hint="default" w:ascii="Calibri" w:hAnsi="Calibri" w:cs="Calibri"/>
                <w:sz w:val="24"/>
                <w:szCs w:val="24"/>
              </w:rPr>
              <w:t>0.000</w:t>
            </w:r>
          </w:p>
        </w:tc>
        <w:tc>
          <w:tcPr>
            <w:tcW w:w="1872" w:type="dxa"/>
            <w:shd w:val="clear" w:color="auto" w:fill="F8FAFC"/>
            <w:tcMar>
              <w:top w:w="100" w:type="dxa"/>
              <w:left w:w="150" w:type="dxa"/>
              <w:bottom w:w="100" w:type="dxa"/>
              <w:right w:w="150" w:type="dxa"/>
            </w:tcMar>
          </w:tcPr>
          <w:p w14:paraId="05E2DEDB">
            <w:pPr>
              <w:rPr>
                <w:rFonts w:hint="default" w:ascii="Calibri" w:hAnsi="Calibri" w:cs="Calibri"/>
                <w:sz w:val="24"/>
                <w:szCs w:val="24"/>
              </w:rPr>
            </w:pPr>
            <w:r>
              <w:rPr>
                <w:rFonts w:hint="default" w:ascii="Calibri" w:hAnsi="Calibri" w:cs="Calibri"/>
                <w:sz w:val="24"/>
                <w:szCs w:val="24"/>
              </w:rPr>
              <w:t>0.098</w:t>
            </w:r>
          </w:p>
        </w:tc>
      </w:tr>
    </w:tbl>
    <w:p w14:paraId="620EF9A7">
      <w:pPr>
        <w:spacing w:after="240"/>
        <w:rPr>
          <w:rFonts w:hint="default" w:ascii="Calibri" w:hAnsi="Calibri" w:cs="Calibri"/>
          <w:sz w:val="24"/>
          <w:szCs w:val="24"/>
        </w:rPr>
      </w:pPr>
    </w:p>
    <w:p w14:paraId="1165A941">
      <w:pPr>
        <w:pBdr>
          <w:left w:val="single" w:color="3B82F6" w:sz="24" w:space="12"/>
        </w:pBdr>
        <w:shd w:val="clear" w:fill="F3F4F6"/>
        <w:spacing w:before="120" w:after="120"/>
        <w:ind w:left="720" w:right="720"/>
        <w:rPr>
          <w:rFonts w:hint="default" w:ascii="Calibri" w:hAnsi="Calibri" w:cs="Calibri"/>
          <w:sz w:val="24"/>
          <w:szCs w:val="24"/>
        </w:rPr>
      </w:pPr>
      <w:r>
        <w:rPr>
          <w:rFonts w:hint="default" w:ascii="Calibri" w:hAnsi="Calibri" w:cs="Calibri"/>
          <w:i/>
          <w:color w:val="3B82F6"/>
          <w:sz w:val="24"/>
          <w:szCs w:val="24"/>
        </w:rPr>
        <w:t>CRITICAL ACADEMIC INSIGHT: For the imbalanced EEG Analysis dataset, the baseline model fails completely, achieving an F1 score of 0.000. It blindly predicts the majority class ('no seizure') to achieve 78.3% accuracy, highlighting the 'Accuracy Trap' in healthcare diagnostics.</w:t>
      </w:r>
    </w:p>
    <w:p w14:paraId="79DD3480">
      <w:pPr>
        <w:spacing w:before="360" w:after="120"/>
        <w:rPr>
          <w:rFonts w:hint="default" w:ascii="Calibri" w:hAnsi="Calibri" w:cs="Calibri"/>
          <w:sz w:val="24"/>
          <w:szCs w:val="24"/>
        </w:rPr>
      </w:pPr>
      <w:r>
        <w:rPr>
          <w:rFonts w:hint="default" w:ascii="Calibri" w:hAnsi="Calibri" w:cs="Calibri"/>
          <w:b/>
          <w:color w:val="0F172A"/>
          <w:sz w:val="24"/>
          <w:szCs w:val="24"/>
        </w:rPr>
        <w:t>IV. REGULARIZATION STUDY &amp; CLASS IMBALANCE INTERACTION</w:t>
      </w:r>
    </w:p>
    <w:p w14:paraId="7004D638">
      <w:pPr>
        <w:rPr>
          <w:rFonts w:hint="default" w:ascii="Calibri" w:hAnsi="Calibri" w:cs="Calibri"/>
          <w:sz w:val="24"/>
          <w:szCs w:val="24"/>
        </w:rPr>
      </w:pPr>
      <w:r>
        <w:rPr>
          <w:rFonts w:hint="default" w:ascii="Calibri" w:hAnsi="Calibri" w:cs="Calibri"/>
          <w:sz w:val="24"/>
          <w:szCs w:val="24"/>
        </w:rPr>
        <w:t>Regularization adds mathematical penalty constraints to restrict coefficient magnitude, preventing high-dimensional overfitting. L1 regularization (Lasso) drives non-informative weights to exactly zero, performing automatic sparse feature selection. L2 regularization (Ridge) shrinks all weights uniformly but retains the entire feature space.</w:t>
      </w:r>
    </w:p>
    <w:p w14:paraId="7565B013">
      <w:pPr>
        <w:rPr>
          <w:rFonts w:hint="default" w:ascii="Calibri" w:hAnsi="Calibri" w:cs="Calibri"/>
          <w:sz w:val="24"/>
          <w:szCs w:val="24"/>
        </w:rPr>
      </w:pPr>
      <w:r>
        <w:rPr>
          <w:rFonts w:hint="default" w:ascii="Calibri" w:hAnsi="Calibri" w:cs="Calibri"/>
          <w:b/>
          <w:sz w:val="24"/>
          <w:szCs w:val="24"/>
        </w:rPr>
        <w:t>TABLE II. REGULARIZATION COMPARATIVE METRICS</w:t>
      </w:r>
    </w:p>
    <w:tbl>
      <w:tblPr>
        <w:tblStyle w:val="12"/>
        <w:tblW w:w="0" w:type="auto"/>
        <w:jc w:val="center"/>
        <w:tblLayout w:type="autofit"/>
        <w:tblCellMar>
          <w:top w:w="0" w:type="dxa"/>
          <w:left w:w="108" w:type="dxa"/>
          <w:bottom w:w="0" w:type="dxa"/>
          <w:right w:w="108" w:type="dxa"/>
        </w:tblCellMar>
      </w:tblPr>
      <w:tblGrid>
        <w:gridCol w:w="1560"/>
        <w:gridCol w:w="1560"/>
        <w:gridCol w:w="1560"/>
        <w:gridCol w:w="1560"/>
        <w:gridCol w:w="1560"/>
        <w:gridCol w:w="1560"/>
      </w:tblGrid>
      <w:tr w14:paraId="6CE3EEAB">
        <w:tblPrEx>
          <w:tblCellMar>
            <w:top w:w="0" w:type="dxa"/>
            <w:left w:w="108" w:type="dxa"/>
            <w:bottom w:w="0" w:type="dxa"/>
            <w:right w:w="108" w:type="dxa"/>
          </w:tblCellMar>
        </w:tblPrEx>
        <w:trPr>
          <w:jc w:val="center"/>
        </w:trPr>
        <w:tc>
          <w:tcPr>
            <w:tcW w:w="1560" w:type="dxa"/>
            <w:shd w:val="clear" w:color="auto" w:fill="0F172A"/>
            <w:tcMar>
              <w:top w:w="100" w:type="dxa"/>
              <w:left w:w="150" w:type="dxa"/>
              <w:bottom w:w="100" w:type="dxa"/>
              <w:right w:w="150" w:type="dxa"/>
            </w:tcMar>
          </w:tcPr>
          <w:p w14:paraId="45C3A473">
            <w:pPr>
              <w:rPr>
                <w:rFonts w:hint="default" w:ascii="Calibri" w:hAnsi="Calibri" w:cs="Calibri"/>
                <w:sz w:val="24"/>
                <w:szCs w:val="24"/>
              </w:rPr>
            </w:pPr>
            <w:r>
              <w:rPr>
                <w:rFonts w:hint="default" w:ascii="Calibri" w:hAnsi="Calibri" w:cs="Calibri"/>
                <w:b/>
                <w:color w:val="FFFFFF"/>
                <w:sz w:val="24"/>
                <w:szCs w:val="24"/>
              </w:rPr>
              <w:t>Dataset</w:t>
            </w:r>
          </w:p>
        </w:tc>
        <w:tc>
          <w:tcPr>
            <w:tcW w:w="1560" w:type="dxa"/>
            <w:shd w:val="clear" w:color="auto" w:fill="0F172A"/>
            <w:tcMar>
              <w:top w:w="100" w:type="dxa"/>
              <w:left w:w="150" w:type="dxa"/>
              <w:bottom w:w="100" w:type="dxa"/>
              <w:right w:w="150" w:type="dxa"/>
            </w:tcMar>
          </w:tcPr>
          <w:p w14:paraId="73BE4D66">
            <w:pPr>
              <w:rPr>
                <w:rFonts w:hint="default" w:ascii="Calibri" w:hAnsi="Calibri" w:cs="Calibri"/>
                <w:sz w:val="24"/>
                <w:szCs w:val="24"/>
              </w:rPr>
            </w:pPr>
            <w:r>
              <w:rPr>
                <w:rFonts w:hint="default" w:ascii="Calibri" w:hAnsi="Calibri" w:cs="Calibri"/>
                <w:b/>
                <w:color w:val="FFFFFF"/>
                <w:sz w:val="24"/>
                <w:szCs w:val="24"/>
              </w:rPr>
              <w:t>Pipeline</w:t>
            </w:r>
          </w:p>
        </w:tc>
        <w:tc>
          <w:tcPr>
            <w:tcW w:w="1560" w:type="dxa"/>
            <w:shd w:val="clear" w:color="auto" w:fill="0F172A"/>
            <w:tcMar>
              <w:top w:w="100" w:type="dxa"/>
              <w:left w:w="150" w:type="dxa"/>
              <w:bottom w:w="100" w:type="dxa"/>
              <w:right w:w="150" w:type="dxa"/>
            </w:tcMar>
          </w:tcPr>
          <w:p w14:paraId="1C792B18">
            <w:pPr>
              <w:rPr>
                <w:rFonts w:hint="default" w:ascii="Calibri" w:hAnsi="Calibri" w:cs="Calibri"/>
                <w:sz w:val="24"/>
                <w:szCs w:val="24"/>
              </w:rPr>
            </w:pPr>
            <w:r>
              <w:rPr>
                <w:rFonts w:hint="default" w:ascii="Calibri" w:hAnsi="Calibri" w:cs="Calibri"/>
                <w:b/>
                <w:color w:val="FFFFFF"/>
                <w:sz w:val="24"/>
                <w:szCs w:val="24"/>
              </w:rPr>
              <w:t>L1 F1</w:t>
            </w:r>
          </w:p>
        </w:tc>
        <w:tc>
          <w:tcPr>
            <w:tcW w:w="1560" w:type="dxa"/>
            <w:shd w:val="clear" w:color="auto" w:fill="0F172A"/>
            <w:tcMar>
              <w:top w:w="100" w:type="dxa"/>
              <w:left w:w="150" w:type="dxa"/>
              <w:bottom w:w="100" w:type="dxa"/>
              <w:right w:w="150" w:type="dxa"/>
            </w:tcMar>
          </w:tcPr>
          <w:p w14:paraId="2AA73E39">
            <w:pPr>
              <w:rPr>
                <w:rFonts w:hint="default" w:ascii="Calibri" w:hAnsi="Calibri" w:cs="Calibri"/>
                <w:sz w:val="24"/>
                <w:szCs w:val="24"/>
              </w:rPr>
            </w:pPr>
            <w:r>
              <w:rPr>
                <w:rFonts w:hint="default" w:ascii="Calibri" w:hAnsi="Calibri" w:cs="Calibri"/>
                <w:b/>
                <w:color w:val="FFFFFF"/>
                <w:sz w:val="24"/>
                <w:szCs w:val="24"/>
              </w:rPr>
              <w:t>L1 Sparsity</w:t>
            </w:r>
          </w:p>
        </w:tc>
        <w:tc>
          <w:tcPr>
            <w:tcW w:w="1560" w:type="dxa"/>
            <w:shd w:val="clear" w:color="auto" w:fill="0F172A"/>
            <w:tcMar>
              <w:top w:w="100" w:type="dxa"/>
              <w:left w:w="150" w:type="dxa"/>
              <w:bottom w:w="100" w:type="dxa"/>
              <w:right w:w="150" w:type="dxa"/>
            </w:tcMar>
          </w:tcPr>
          <w:p w14:paraId="0CACBF97">
            <w:pPr>
              <w:rPr>
                <w:rFonts w:hint="default" w:ascii="Calibri" w:hAnsi="Calibri" w:cs="Calibri"/>
                <w:sz w:val="24"/>
                <w:szCs w:val="24"/>
              </w:rPr>
            </w:pPr>
            <w:r>
              <w:rPr>
                <w:rFonts w:hint="default" w:ascii="Calibri" w:hAnsi="Calibri" w:cs="Calibri"/>
                <w:b/>
                <w:color w:val="FFFFFF"/>
                <w:sz w:val="24"/>
                <w:szCs w:val="24"/>
              </w:rPr>
              <w:t>L2 F1</w:t>
            </w:r>
          </w:p>
        </w:tc>
        <w:tc>
          <w:tcPr>
            <w:tcW w:w="1560" w:type="dxa"/>
            <w:shd w:val="clear" w:color="auto" w:fill="0F172A"/>
            <w:tcMar>
              <w:top w:w="100" w:type="dxa"/>
              <w:left w:w="150" w:type="dxa"/>
              <w:bottom w:w="100" w:type="dxa"/>
              <w:right w:w="150" w:type="dxa"/>
            </w:tcMar>
          </w:tcPr>
          <w:p w14:paraId="72A5AA2F">
            <w:pPr>
              <w:rPr>
                <w:rFonts w:hint="default" w:ascii="Calibri" w:hAnsi="Calibri" w:cs="Calibri"/>
                <w:sz w:val="24"/>
                <w:szCs w:val="24"/>
              </w:rPr>
            </w:pPr>
            <w:r>
              <w:rPr>
                <w:rFonts w:hint="default" w:ascii="Calibri" w:hAnsi="Calibri" w:cs="Calibri"/>
                <w:b/>
                <w:color w:val="FFFFFF"/>
                <w:sz w:val="24"/>
                <w:szCs w:val="24"/>
              </w:rPr>
              <w:t>L2 Sparsity</w:t>
            </w:r>
          </w:p>
        </w:tc>
      </w:tr>
      <w:tr w14:paraId="1BA5D55D">
        <w:tblPrEx>
          <w:tblCellMar>
            <w:top w:w="0" w:type="dxa"/>
            <w:left w:w="108" w:type="dxa"/>
            <w:bottom w:w="0" w:type="dxa"/>
            <w:right w:w="108" w:type="dxa"/>
          </w:tblCellMar>
        </w:tblPrEx>
        <w:trPr>
          <w:jc w:val="center"/>
        </w:trPr>
        <w:tc>
          <w:tcPr>
            <w:tcW w:w="1560" w:type="dxa"/>
            <w:tcMar>
              <w:top w:w="100" w:type="dxa"/>
              <w:left w:w="150" w:type="dxa"/>
              <w:bottom w:w="100" w:type="dxa"/>
              <w:right w:w="150" w:type="dxa"/>
            </w:tcMar>
          </w:tcPr>
          <w:p w14:paraId="51CA2412">
            <w:pPr>
              <w:rPr>
                <w:rFonts w:hint="default" w:ascii="Calibri" w:hAnsi="Calibri" w:cs="Calibri"/>
                <w:sz w:val="24"/>
                <w:szCs w:val="24"/>
              </w:rPr>
            </w:pPr>
            <w:r>
              <w:rPr>
                <w:rFonts w:hint="default" w:ascii="Calibri" w:hAnsi="Calibri" w:cs="Calibri"/>
                <w:sz w:val="24"/>
                <w:szCs w:val="24"/>
              </w:rPr>
              <w:t>BEED Tabular</w:t>
            </w:r>
          </w:p>
        </w:tc>
        <w:tc>
          <w:tcPr>
            <w:tcW w:w="1560" w:type="dxa"/>
            <w:tcMar>
              <w:top w:w="100" w:type="dxa"/>
              <w:left w:w="150" w:type="dxa"/>
              <w:bottom w:w="100" w:type="dxa"/>
              <w:right w:w="150" w:type="dxa"/>
            </w:tcMar>
          </w:tcPr>
          <w:p w14:paraId="58D2469C">
            <w:pPr>
              <w:rPr>
                <w:rFonts w:hint="default" w:ascii="Calibri" w:hAnsi="Calibri" w:cs="Calibri"/>
                <w:sz w:val="24"/>
                <w:szCs w:val="24"/>
              </w:rPr>
            </w:pPr>
            <w:r>
              <w:rPr>
                <w:rFonts w:hint="default" w:ascii="Calibri" w:hAnsi="Calibri" w:cs="Calibri"/>
                <w:sz w:val="24"/>
                <w:szCs w:val="24"/>
              </w:rPr>
              <w:t>Pipeline A</w:t>
            </w:r>
          </w:p>
        </w:tc>
        <w:tc>
          <w:tcPr>
            <w:tcW w:w="1560" w:type="dxa"/>
            <w:tcMar>
              <w:top w:w="100" w:type="dxa"/>
              <w:left w:w="150" w:type="dxa"/>
              <w:bottom w:w="100" w:type="dxa"/>
              <w:right w:w="150" w:type="dxa"/>
            </w:tcMar>
          </w:tcPr>
          <w:p w14:paraId="34361B16">
            <w:pPr>
              <w:rPr>
                <w:rFonts w:hint="default" w:ascii="Calibri" w:hAnsi="Calibri" w:cs="Calibri"/>
                <w:sz w:val="24"/>
                <w:szCs w:val="24"/>
              </w:rPr>
            </w:pPr>
            <w:r>
              <w:rPr>
                <w:rFonts w:hint="default" w:ascii="Calibri" w:hAnsi="Calibri" w:cs="Calibri"/>
                <w:sz w:val="24"/>
                <w:szCs w:val="24"/>
              </w:rPr>
              <w:t>0.885</w:t>
            </w:r>
          </w:p>
        </w:tc>
        <w:tc>
          <w:tcPr>
            <w:tcW w:w="1560" w:type="dxa"/>
            <w:tcMar>
              <w:top w:w="100" w:type="dxa"/>
              <w:left w:w="150" w:type="dxa"/>
              <w:bottom w:w="100" w:type="dxa"/>
              <w:right w:w="150" w:type="dxa"/>
            </w:tcMar>
          </w:tcPr>
          <w:p w14:paraId="55993C7B">
            <w:pPr>
              <w:rPr>
                <w:rFonts w:hint="default" w:ascii="Calibri" w:hAnsi="Calibri" w:cs="Calibri"/>
                <w:sz w:val="24"/>
                <w:szCs w:val="24"/>
              </w:rPr>
            </w:pPr>
            <w:r>
              <w:rPr>
                <w:rFonts w:hint="default" w:ascii="Calibri" w:hAnsi="Calibri" w:cs="Calibri"/>
                <w:sz w:val="24"/>
                <w:szCs w:val="24"/>
              </w:rPr>
              <w:t>12.5%</w:t>
            </w:r>
          </w:p>
        </w:tc>
        <w:tc>
          <w:tcPr>
            <w:tcW w:w="1560" w:type="dxa"/>
            <w:tcMar>
              <w:top w:w="100" w:type="dxa"/>
              <w:left w:w="150" w:type="dxa"/>
              <w:bottom w:w="100" w:type="dxa"/>
              <w:right w:w="150" w:type="dxa"/>
            </w:tcMar>
          </w:tcPr>
          <w:p w14:paraId="695D0576">
            <w:pPr>
              <w:rPr>
                <w:rFonts w:hint="default" w:ascii="Calibri" w:hAnsi="Calibri" w:cs="Calibri"/>
                <w:sz w:val="24"/>
                <w:szCs w:val="24"/>
              </w:rPr>
            </w:pPr>
            <w:r>
              <w:rPr>
                <w:rFonts w:hint="default" w:ascii="Calibri" w:hAnsi="Calibri" w:cs="Calibri"/>
                <w:sz w:val="24"/>
                <w:szCs w:val="24"/>
              </w:rPr>
              <w:t>0.885</w:t>
            </w:r>
          </w:p>
        </w:tc>
        <w:tc>
          <w:tcPr>
            <w:tcW w:w="1560" w:type="dxa"/>
            <w:tcMar>
              <w:top w:w="100" w:type="dxa"/>
              <w:left w:w="150" w:type="dxa"/>
              <w:bottom w:w="100" w:type="dxa"/>
              <w:right w:w="150" w:type="dxa"/>
            </w:tcMar>
          </w:tcPr>
          <w:p w14:paraId="64101A9F">
            <w:pPr>
              <w:rPr>
                <w:rFonts w:hint="default" w:ascii="Calibri" w:hAnsi="Calibri" w:cs="Calibri"/>
                <w:sz w:val="24"/>
                <w:szCs w:val="24"/>
              </w:rPr>
            </w:pPr>
            <w:r>
              <w:rPr>
                <w:rFonts w:hint="default" w:ascii="Calibri" w:hAnsi="Calibri" w:cs="Calibri"/>
                <w:sz w:val="24"/>
                <w:szCs w:val="24"/>
              </w:rPr>
              <w:t>0.0%</w:t>
            </w:r>
          </w:p>
        </w:tc>
      </w:tr>
      <w:tr w14:paraId="597C203C">
        <w:tblPrEx>
          <w:tblCellMar>
            <w:top w:w="0" w:type="dxa"/>
            <w:left w:w="108" w:type="dxa"/>
            <w:bottom w:w="0" w:type="dxa"/>
            <w:right w:w="108" w:type="dxa"/>
          </w:tblCellMar>
        </w:tblPrEx>
        <w:trPr>
          <w:jc w:val="center"/>
        </w:trPr>
        <w:tc>
          <w:tcPr>
            <w:tcW w:w="1560" w:type="dxa"/>
            <w:shd w:val="clear" w:color="auto" w:fill="F8FAFC"/>
            <w:tcMar>
              <w:top w:w="100" w:type="dxa"/>
              <w:left w:w="150" w:type="dxa"/>
              <w:bottom w:w="100" w:type="dxa"/>
              <w:right w:w="150" w:type="dxa"/>
            </w:tcMar>
          </w:tcPr>
          <w:p w14:paraId="663C66D4">
            <w:pPr>
              <w:rPr>
                <w:rFonts w:hint="default" w:ascii="Calibri" w:hAnsi="Calibri" w:cs="Calibri"/>
                <w:sz w:val="24"/>
                <w:szCs w:val="24"/>
              </w:rPr>
            </w:pPr>
            <w:r>
              <w:rPr>
                <w:rFonts w:hint="default" w:ascii="Calibri" w:hAnsi="Calibri" w:cs="Calibri"/>
                <w:sz w:val="24"/>
                <w:szCs w:val="24"/>
              </w:rPr>
              <w:t>BEED Tabular</w:t>
            </w:r>
          </w:p>
        </w:tc>
        <w:tc>
          <w:tcPr>
            <w:tcW w:w="1560" w:type="dxa"/>
            <w:shd w:val="clear" w:color="auto" w:fill="F8FAFC"/>
            <w:tcMar>
              <w:top w:w="100" w:type="dxa"/>
              <w:left w:w="150" w:type="dxa"/>
              <w:bottom w:w="100" w:type="dxa"/>
              <w:right w:w="150" w:type="dxa"/>
            </w:tcMar>
          </w:tcPr>
          <w:p w14:paraId="433AF1E0">
            <w:pPr>
              <w:rPr>
                <w:rFonts w:hint="default" w:ascii="Calibri" w:hAnsi="Calibri" w:cs="Calibri"/>
                <w:sz w:val="24"/>
                <w:szCs w:val="24"/>
              </w:rPr>
            </w:pPr>
            <w:r>
              <w:rPr>
                <w:rFonts w:hint="default" w:ascii="Calibri" w:hAnsi="Calibri" w:cs="Calibri"/>
                <w:sz w:val="24"/>
                <w:szCs w:val="24"/>
              </w:rPr>
              <w:t>Pipeline B</w:t>
            </w:r>
          </w:p>
        </w:tc>
        <w:tc>
          <w:tcPr>
            <w:tcW w:w="1560" w:type="dxa"/>
            <w:shd w:val="clear" w:color="auto" w:fill="F8FAFC"/>
            <w:tcMar>
              <w:top w:w="100" w:type="dxa"/>
              <w:left w:w="150" w:type="dxa"/>
              <w:bottom w:w="100" w:type="dxa"/>
              <w:right w:w="150" w:type="dxa"/>
            </w:tcMar>
          </w:tcPr>
          <w:p w14:paraId="4FE268D9">
            <w:pPr>
              <w:rPr>
                <w:rFonts w:hint="default" w:ascii="Calibri" w:hAnsi="Calibri" w:cs="Calibri"/>
                <w:sz w:val="24"/>
                <w:szCs w:val="24"/>
              </w:rPr>
            </w:pPr>
            <w:r>
              <w:rPr>
                <w:rFonts w:hint="default" w:ascii="Calibri" w:hAnsi="Calibri" w:cs="Calibri"/>
                <w:sz w:val="24"/>
                <w:szCs w:val="24"/>
              </w:rPr>
              <w:t>0.888</w:t>
            </w:r>
          </w:p>
        </w:tc>
        <w:tc>
          <w:tcPr>
            <w:tcW w:w="1560" w:type="dxa"/>
            <w:shd w:val="clear" w:color="auto" w:fill="F8FAFC"/>
            <w:tcMar>
              <w:top w:w="100" w:type="dxa"/>
              <w:left w:w="150" w:type="dxa"/>
              <w:bottom w:w="100" w:type="dxa"/>
              <w:right w:w="150" w:type="dxa"/>
            </w:tcMar>
          </w:tcPr>
          <w:p w14:paraId="7C6E369C">
            <w:pPr>
              <w:rPr>
                <w:rFonts w:hint="default" w:ascii="Calibri" w:hAnsi="Calibri" w:cs="Calibri"/>
                <w:sz w:val="24"/>
                <w:szCs w:val="24"/>
              </w:rPr>
            </w:pPr>
            <w:r>
              <w:rPr>
                <w:rFonts w:hint="default" w:ascii="Calibri" w:hAnsi="Calibri" w:cs="Calibri"/>
                <w:sz w:val="24"/>
                <w:szCs w:val="24"/>
              </w:rPr>
              <w:t>10.0%</w:t>
            </w:r>
          </w:p>
        </w:tc>
        <w:tc>
          <w:tcPr>
            <w:tcW w:w="1560" w:type="dxa"/>
            <w:shd w:val="clear" w:color="auto" w:fill="F8FAFC"/>
            <w:tcMar>
              <w:top w:w="100" w:type="dxa"/>
              <w:left w:w="150" w:type="dxa"/>
              <w:bottom w:w="100" w:type="dxa"/>
              <w:right w:w="150" w:type="dxa"/>
            </w:tcMar>
          </w:tcPr>
          <w:p w14:paraId="2AF79DE3">
            <w:pPr>
              <w:rPr>
                <w:rFonts w:hint="default" w:ascii="Calibri" w:hAnsi="Calibri" w:cs="Calibri"/>
                <w:sz w:val="24"/>
                <w:szCs w:val="24"/>
              </w:rPr>
            </w:pPr>
            <w:r>
              <w:rPr>
                <w:rFonts w:hint="default" w:ascii="Calibri" w:hAnsi="Calibri" w:cs="Calibri"/>
                <w:sz w:val="24"/>
                <w:szCs w:val="24"/>
              </w:rPr>
              <w:t>0.888</w:t>
            </w:r>
          </w:p>
        </w:tc>
        <w:tc>
          <w:tcPr>
            <w:tcW w:w="1560" w:type="dxa"/>
            <w:shd w:val="clear" w:color="auto" w:fill="F8FAFC"/>
            <w:tcMar>
              <w:top w:w="100" w:type="dxa"/>
              <w:left w:w="150" w:type="dxa"/>
              <w:bottom w:w="100" w:type="dxa"/>
              <w:right w:w="150" w:type="dxa"/>
            </w:tcMar>
          </w:tcPr>
          <w:p w14:paraId="2E650B3E">
            <w:pPr>
              <w:rPr>
                <w:rFonts w:hint="default" w:ascii="Calibri" w:hAnsi="Calibri" w:cs="Calibri"/>
                <w:sz w:val="24"/>
                <w:szCs w:val="24"/>
              </w:rPr>
            </w:pPr>
            <w:r>
              <w:rPr>
                <w:rFonts w:hint="default" w:ascii="Calibri" w:hAnsi="Calibri" w:cs="Calibri"/>
                <w:sz w:val="24"/>
                <w:szCs w:val="24"/>
              </w:rPr>
              <w:t>0.0%</w:t>
            </w:r>
          </w:p>
        </w:tc>
      </w:tr>
      <w:tr w14:paraId="57BE71B3">
        <w:tblPrEx>
          <w:tblCellMar>
            <w:top w:w="0" w:type="dxa"/>
            <w:left w:w="108" w:type="dxa"/>
            <w:bottom w:w="0" w:type="dxa"/>
            <w:right w:w="108" w:type="dxa"/>
          </w:tblCellMar>
        </w:tblPrEx>
        <w:trPr>
          <w:jc w:val="center"/>
        </w:trPr>
        <w:tc>
          <w:tcPr>
            <w:tcW w:w="1560" w:type="dxa"/>
            <w:tcMar>
              <w:top w:w="100" w:type="dxa"/>
              <w:left w:w="150" w:type="dxa"/>
              <w:bottom w:w="100" w:type="dxa"/>
              <w:right w:w="150" w:type="dxa"/>
            </w:tcMar>
          </w:tcPr>
          <w:p w14:paraId="7DBED50C">
            <w:pPr>
              <w:rPr>
                <w:rFonts w:hint="default" w:ascii="Calibri" w:hAnsi="Calibri" w:cs="Calibri"/>
                <w:sz w:val="24"/>
                <w:szCs w:val="24"/>
              </w:rPr>
            </w:pPr>
            <w:r>
              <w:rPr>
                <w:rFonts w:hint="default" w:ascii="Calibri" w:hAnsi="Calibri" w:cs="Calibri"/>
                <w:sz w:val="24"/>
                <w:szCs w:val="24"/>
              </w:rPr>
              <w:t>Recognition (Flat)</w:t>
            </w:r>
          </w:p>
        </w:tc>
        <w:tc>
          <w:tcPr>
            <w:tcW w:w="1560" w:type="dxa"/>
            <w:tcMar>
              <w:top w:w="100" w:type="dxa"/>
              <w:left w:w="150" w:type="dxa"/>
              <w:bottom w:w="100" w:type="dxa"/>
              <w:right w:w="150" w:type="dxa"/>
            </w:tcMar>
          </w:tcPr>
          <w:p w14:paraId="11BF919B">
            <w:pPr>
              <w:rPr>
                <w:rFonts w:hint="default" w:ascii="Calibri" w:hAnsi="Calibri" w:cs="Calibri"/>
                <w:sz w:val="24"/>
                <w:szCs w:val="24"/>
              </w:rPr>
            </w:pPr>
            <w:r>
              <w:rPr>
                <w:rFonts w:hint="default" w:ascii="Calibri" w:hAnsi="Calibri" w:cs="Calibri"/>
                <w:sz w:val="24"/>
                <w:szCs w:val="24"/>
              </w:rPr>
              <w:t>Pipeline A</w:t>
            </w:r>
          </w:p>
        </w:tc>
        <w:tc>
          <w:tcPr>
            <w:tcW w:w="1560" w:type="dxa"/>
            <w:tcMar>
              <w:top w:w="100" w:type="dxa"/>
              <w:left w:w="150" w:type="dxa"/>
              <w:bottom w:w="100" w:type="dxa"/>
              <w:right w:w="150" w:type="dxa"/>
            </w:tcMar>
          </w:tcPr>
          <w:p w14:paraId="543B3415">
            <w:pPr>
              <w:rPr>
                <w:rFonts w:hint="default" w:ascii="Calibri" w:hAnsi="Calibri" w:cs="Calibri"/>
                <w:sz w:val="24"/>
                <w:szCs w:val="24"/>
              </w:rPr>
            </w:pPr>
            <w:r>
              <w:rPr>
                <w:rFonts w:hint="default" w:ascii="Calibri" w:hAnsi="Calibri" w:cs="Calibri"/>
                <w:sz w:val="24"/>
                <w:szCs w:val="24"/>
              </w:rPr>
              <w:t>0.908</w:t>
            </w:r>
          </w:p>
        </w:tc>
        <w:tc>
          <w:tcPr>
            <w:tcW w:w="1560" w:type="dxa"/>
            <w:tcMar>
              <w:top w:w="100" w:type="dxa"/>
              <w:left w:w="150" w:type="dxa"/>
              <w:bottom w:w="100" w:type="dxa"/>
              <w:right w:w="150" w:type="dxa"/>
            </w:tcMar>
          </w:tcPr>
          <w:p w14:paraId="333B291A">
            <w:pPr>
              <w:rPr>
                <w:rFonts w:hint="default" w:ascii="Calibri" w:hAnsi="Calibri" w:cs="Calibri"/>
                <w:sz w:val="24"/>
                <w:szCs w:val="24"/>
              </w:rPr>
            </w:pPr>
            <w:r>
              <w:rPr>
                <w:rFonts w:hint="default" w:ascii="Calibri" w:hAnsi="Calibri" w:cs="Calibri"/>
                <w:sz w:val="24"/>
                <w:szCs w:val="24"/>
              </w:rPr>
              <w:t>82.5%</w:t>
            </w:r>
          </w:p>
        </w:tc>
        <w:tc>
          <w:tcPr>
            <w:tcW w:w="1560" w:type="dxa"/>
            <w:tcMar>
              <w:top w:w="100" w:type="dxa"/>
              <w:left w:w="150" w:type="dxa"/>
              <w:bottom w:w="100" w:type="dxa"/>
              <w:right w:w="150" w:type="dxa"/>
            </w:tcMar>
          </w:tcPr>
          <w:p w14:paraId="1FF79BAE">
            <w:pPr>
              <w:rPr>
                <w:rFonts w:hint="default" w:ascii="Calibri" w:hAnsi="Calibri" w:cs="Calibri"/>
                <w:sz w:val="24"/>
                <w:szCs w:val="24"/>
              </w:rPr>
            </w:pPr>
            <w:r>
              <w:rPr>
                <w:rFonts w:hint="default" w:ascii="Calibri" w:hAnsi="Calibri" w:cs="Calibri"/>
                <w:sz w:val="24"/>
                <w:szCs w:val="24"/>
              </w:rPr>
              <w:t>0.875</w:t>
            </w:r>
          </w:p>
        </w:tc>
        <w:tc>
          <w:tcPr>
            <w:tcW w:w="1560" w:type="dxa"/>
            <w:tcMar>
              <w:top w:w="100" w:type="dxa"/>
              <w:left w:w="150" w:type="dxa"/>
              <w:bottom w:w="100" w:type="dxa"/>
              <w:right w:w="150" w:type="dxa"/>
            </w:tcMar>
          </w:tcPr>
          <w:p w14:paraId="4E8ACF8F">
            <w:pPr>
              <w:rPr>
                <w:rFonts w:hint="default" w:ascii="Calibri" w:hAnsi="Calibri" w:cs="Calibri"/>
                <w:sz w:val="24"/>
                <w:szCs w:val="24"/>
              </w:rPr>
            </w:pPr>
            <w:r>
              <w:rPr>
                <w:rFonts w:hint="default" w:ascii="Calibri" w:hAnsi="Calibri" w:cs="Calibri"/>
                <w:sz w:val="24"/>
                <w:szCs w:val="24"/>
              </w:rPr>
              <w:t>0.0%</w:t>
            </w:r>
          </w:p>
        </w:tc>
      </w:tr>
      <w:tr w14:paraId="36B0F568">
        <w:tblPrEx>
          <w:tblCellMar>
            <w:top w:w="0" w:type="dxa"/>
            <w:left w:w="108" w:type="dxa"/>
            <w:bottom w:w="0" w:type="dxa"/>
            <w:right w:w="108" w:type="dxa"/>
          </w:tblCellMar>
        </w:tblPrEx>
        <w:trPr>
          <w:jc w:val="center"/>
        </w:trPr>
        <w:tc>
          <w:tcPr>
            <w:tcW w:w="1560" w:type="dxa"/>
            <w:shd w:val="clear" w:color="auto" w:fill="F8FAFC"/>
            <w:tcMar>
              <w:top w:w="100" w:type="dxa"/>
              <w:left w:w="150" w:type="dxa"/>
              <w:bottom w:w="100" w:type="dxa"/>
              <w:right w:w="150" w:type="dxa"/>
            </w:tcMar>
          </w:tcPr>
          <w:p w14:paraId="69A322B9">
            <w:pPr>
              <w:rPr>
                <w:rFonts w:hint="default" w:ascii="Calibri" w:hAnsi="Calibri" w:cs="Calibri"/>
                <w:sz w:val="24"/>
                <w:szCs w:val="24"/>
              </w:rPr>
            </w:pPr>
            <w:r>
              <w:rPr>
                <w:rFonts w:hint="default" w:ascii="Calibri" w:hAnsi="Calibri" w:cs="Calibri"/>
                <w:sz w:val="24"/>
                <w:szCs w:val="24"/>
              </w:rPr>
              <w:t>Recognition (Flat)</w:t>
            </w:r>
          </w:p>
        </w:tc>
        <w:tc>
          <w:tcPr>
            <w:tcW w:w="1560" w:type="dxa"/>
            <w:shd w:val="clear" w:color="auto" w:fill="F8FAFC"/>
            <w:tcMar>
              <w:top w:w="100" w:type="dxa"/>
              <w:left w:w="150" w:type="dxa"/>
              <w:bottom w:w="100" w:type="dxa"/>
              <w:right w:w="150" w:type="dxa"/>
            </w:tcMar>
          </w:tcPr>
          <w:p w14:paraId="176864FC">
            <w:pPr>
              <w:rPr>
                <w:rFonts w:hint="default" w:ascii="Calibri" w:hAnsi="Calibri" w:cs="Calibri"/>
                <w:sz w:val="24"/>
                <w:szCs w:val="24"/>
              </w:rPr>
            </w:pPr>
            <w:r>
              <w:rPr>
                <w:rFonts w:hint="default" w:ascii="Calibri" w:hAnsi="Calibri" w:cs="Calibri"/>
                <w:sz w:val="24"/>
                <w:szCs w:val="24"/>
              </w:rPr>
              <w:t>Pipeline B</w:t>
            </w:r>
          </w:p>
        </w:tc>
        <w:tc>
          <w:tcPr>
            <w:tcW w:w="1560" w:type="dxa"/>
            <w:shd w:val="clear" w:color="auto" w:fill="F8FAFC"/>
            <w:tcMar>
              <w:top w:w="100" w:type="dxa"/>
              <w:left w:w="150" w:type="dxa"/>
              <w:bottom w:w="100" w:type="dxa"/>
              <w:right w:w="150" w:type="dxa"/>
            </w:tcMar>
          </w:tcPr>
          <w:p w14:paraId="21927138">
            <w:pPr>
              <w:rPr>
                <w:rFonts w:hint="default" w:ascii="Calibri" w:hAnsi="Calibri" w:cs="Calibri"/>
                <w:sz w:val="24"/>
                <w:szCs w:val="24"/>
              </w:rPr>
            </w:pPr>
            <w:r>
              <w:rPr>
                <w:rFonts w:hint="default" w:ascii="Calibri" w:hAnsi="Calibri" w:cs="Calibri"/>
                <w:sz w:val="24"/>
                <w:szCs w:val="24"/>
              </w:rPr>
              <w:t>0.907</w:t>
            </w:r>
          </w:p>
        </w:tc>
        <w:tc>
          <w:tcPr>
            <w:tcW w:w="1560" w:type="dxa"/>
            <w:shd w:val="clear" w:color="auto" w:fill="F8FAFC"/>
            <w:tcMar>
              <w:top w:w="100" w:type="dxa"/>
              <w:left w:w="150" w:type="dxa"/>
              <w:bottom w:w="100" w:type="dxa"/>
              <w:right w:w="150" w:type="dxa"/>
            </w:tcMar>
          </w:tcPr>
          <w:p w14:paraId="726EA27B">
            <w:pPr>
              <w:rPr>
                <w:rFonts w:hint="default" w:ascii="Calibri" w:hAnsi="Calibri" w:cs="Calibri"/>
                <w:sz w:val="24"/>
                <w:szCs w:val="24"/>
              </w:rPr>
            </w:pPr>
            <w:r>
              <w:rPr>
                <w:rFonts w:hint="default" w:ascii="Calibri" w:hAnsi="Calibri" w:cs="Calibri"/>
                <w:sz w:val="24"/>
                <w:szCs w:val="24"/>
              </w:rPr>
              <w:t>64.0%</w:t>
            </w:r>
          </w:p>
        </w:tc>
        <w:tc>
          <w:tcPr>
            <w:tcW w:w="1560" w:type="dxa"/>
            <w:shd w:val="clear" w:color="auto" w:fill="F8FAFC"/>
            <w:tcMar>
              <w:top w:w="100" w:type="dxa"/>
              <w:left w:w="150" w:type="dxa"/>
              <w:bottom w:w="100" w:type="dxa"/>
              <w:right w:w="150" w:type="dxa"/>
            </w:tcMar>
          </w:tcPr>
          <w:p w14:paraId="55034255">
            <w:pPr>
              <w:rPr>
                <w:rFonts w:hint="default" w:ascii="Calibri" w:hAnsi="Calibri" w:cs="Calibri"/>
                <w:sz w:val="24"/>
                <w:szCs w:val="24"/>
              </w:rPr>
            </w:pPr>
            <w:r>
              <w:rPr>
                <w:rFonts w:hint="default" w:ascii="Calibri" w:hAnsi="Calibri" w:cs="Calibri"/>
                <w:sz w:val="24"/>
                <w:szCs w:val="24"/>
              </w:rPr>
              <w:t>0.908</w:t>
            </w:r>
          </w:p>
        </w:tc>
        <w:tc>
          <w:tcPr>
            <w:tcW w:w="1560" w:type="dxa"/>
            <w:shd w:val="clear" w:color="auto" w:fill="F8FAFC"/>
            <w:tcMar>
              <w:top w:w="100" w:type="dxa"/>
              <w:left w:w="150" w:type="dxa"/>
              <w:bottom w:w="100" w:type="dxa"/>
              <w:right w:w="150" w:type="dxa"/>
            </w:tcMar>
          </w:tcPr>
          <w:p w14:paraId="71B3AC75">
            <w:pPr>
              <w:rPr>
                <w:rFonts w:hint="default" w:ascii="Calibri" w:hAnsi="Calibri" w:cs="Calibri"/>
                <w:sz w:val="24"/>
                <w:szCs w:val="24"/>
              </w:rPr>
            </w:pPr>
            <w:r>
              <w:rPr>
                <w:rFonts w:hint="default" w:ascii="Calibri" w:hAnsi="Calibri" w:cs="Calibri"/>
                <w:sz w:val="24"/>
                <w:szCs w:val="24"/>
              </w:rPr>
              <w:t>0.0%</w:t>
            </w:r>
          </w:p>
        </w:tc>
      </w:tr>
      <w:tr w14:paraId="4408793B">
        <w:tblPrEx>
          <w:tblCellMar>
            <w:top w:w="0" w:type="dxa"/>
            <w:left w:w="108" w:type="dxa"/>
            <w:bottom w:w="0" w:type="dxa"/>
            <w:right w:w="108" w:type="dxa"/>
          </w:tblCellMar>
        </w:tblPrEx>
        <w:trPr>
          <w:jc w:val="center"/>
        </w:trPr>
        <w:tc>
          <w:tcPr>
            <w:tcW w:w="1560" w:type="dxa"/>
            <w:tcMar>
              <w:top w:w="100" w:type="dxa"/>
              <w:left w:w="150" w:type="dxa"/>
              <w:bottom w:w="100" w:type="dxa"/>
              <w:right w:w="150" w:type="dxa"/>
            </w:tcMar>
          </w:tcPr>
          <w:p w14:paraId="5D4C15B0">
            <w:pPr>
              <w:rPr>
                <w:rFonts w:hint="default" w:ascii="Calibri" w:hAnsi="Calibri" w:cs="Calibri"/>
                <w:sz w:val="24"/>
                <w:szCs w:val="24"/>
              </w:rPr>
            </w:pPr>
            <w:r>
              <w:rPr>
                <w:rFonts w:hint="default" w:ascii="Calibri" w:hAnsi="Calibri" w:cs="Calibri"/>
                <w:sz w:val="24"/>
                <w:szCs w:val="24"/>
              </w:rPr>
              <w:t>EEG Analysis (3D)</w:t>
            </w:r>
          </w:p>
        </w:tc>
        <w:tc>
          <w:tcPr>
            <w:tcW w:w="1560" w:type="dxa"/>
            <w:tcMar>
              <w:top w:w="100" w:type="dxa"/>
              <w:left w:w="150" w:type="dxa"/>
              <w:bottom w:w="100" w:type="dxa"/>
              <w:right w:w="150" w:type="dxa"/>
            </w:tcMar>
          </w:tcPr>
          <w:p w14:paraId="272FB294">
            <w:pPr>
              <w:rPr>
                <w:rFonts w:hint="default" w:ascii="Calibri" w:hAnsi="Calibri" w:cs="Calibri"/>
                <w:sz w:val="24"/>
                <w:szCs w:val="24"/>
              </w:rPr>
            </w:pPr>
            <w:r>
              <w:rPr>
                <w:rFonts w:hint="default" w:ascii="Calibri" w:hAnsi="Calibri" w:cs="Calibri"/>
                <w:sz w:val="24"/>
                <w:szCs w:val="24"/>
              </w:rPr>
              <w:t>Pipeline A</w:t>
            </w:r>
          </w:p>
        </w:tc>
        <w:tc>
          <w:tcPr>
            <w:tcW w:w="1560" w:type="dxa"/>
            <w:tcMar>
              <w:top w:w="100" w:type="dxa"/>
              <w:left w:w="150" w:type="dxa"/>
              <w:bottom w:w="100" w:type="dxa"/>
              <w:right w:w="150" w:type="dxa"/>
            </w:tcMar>
          </w:tcPr>
          <w:p w14:paraId="675A262B">
            <w:pPr>
              <w:rPr>
                <w:rFonts w:hint="default" w:ascii="Calibri" w:hAnsi="Calibri" w:cs="Calibri"/>
                <w:sz w:val="24"/>
                <w:szCs w:val="24"/>
              </w:rPr>
            </w:pPr>
            <w:r>
              <w:rPr>
                <w:rFonts w:hint="default" w:ascii="Calibri" w:hAnsi="Calibri" w:cs="Calibri"/>
                <w:sz w:val="24"/>
                <w:szCs w:val="24"/>
              </w:rPr>
              <w:t>0.005</w:t>
            </w:r>
          </w:p>
        </w:tc>
        <w:tc>
          <w:tcPr>
            <w:tcW w:w="1560" w:type="dxa"/>
            <w:tcMar>
              <w:top w:w="100" w:type="dxa"/>
              <w:left w:w="150" w:type="dxa"/>
              <w:bottom w:w="100" w:type="dxa"/>
              <w:right w:w="150" w:type="dxa"/>
            </w:tcMar>
          </w:tcPr>
          <w:p w14:paraId="254DEDD7">
            <w:pPr>
              <w:rPr>
                <w:rFonts w:hint="default" w:ascii="Calibri" w:hAnsi="Calibri" w:cs="Calibri"/>
                <w:sz w:val="24"/>
                <w:szCs w:val="24"/>
              </w:rPr>
            </w:pPr>
            <w:r>
              <w:rPr>
                <w:rFonts w:hint="default" w:ascii="Calibri" w:hAnsi="Calibri" w:cs="Calibri"/>
                <w:sz w:val="24"/>
                <w:szCs w:val="24"/>
              </w:rPr>
              <w:t>96.4%</w:t>
            </w:r>
          </w:p>
        </w:tc>
        <w:tc>
          <w:tcPr>
            <w:tcW w:w="1560" w:type="dxa"/>
            <w:tcMar>
              <w:top w:w="100" w:type="dxa"/>
              <w:left w:w="150" w:type="dxa"/>
              <w:bottom w:w="100" w:type="dxa"/>
              <w:right w:w="150" w:type="dxa"/>
            </w:tcMar>
          </w:tcPr>
          <w:p w14:paraId="5C3B9F32">
            <w:pPr>
              <w:rPr>
                <w:rFonts w:hint="default" w:ascii="Calibri" w:hAnsi="Calibri" w:cs="Calibri"/>
                <w:sz w:val="24"/>
                <w:szCs w:val="24"/>
              </w:rPr>
            </w:pPr>
            <w:r>
              <w:rPr>
                <w:rFonts w:hint="default" w:ascii="Calibri" w:hAnsi="Calibri" w:cs="Calibri"/>
                <w:sz w:val="24"/>
                <w:szCs w:val="24"/>
              </w:rPr>
              <w:t>0.016</w:t>
            </w:r>
          </w:p>
        </w:tc>
        <w:tc>
          <w:tcPr>
            <w:tcW w:w="1560" w:type="dxa"/>
            <w:tcMar>
              <w:top w:w="100" w:type="dxa"/>
              <w:left w:w="150" w:type="dxa"/>
              <w:bottom w:w="100" w:type="dxa"/>
              <w:right w:w="150" w:type="dxa"/>
            </w:tcMar>
          </w:tcPr>
          <w:p w14:paraId="2B64775C">
            <w:pPr>
              <w:rPr>
                <w:rFonts w:hint="default" w:ascii="Calibri" w:hAnsi="Calibri" w:cs="Calibri"/>
                <w:sz w:val="24"/>
                <w:szCs w:val="24"/>
              </w:rPr>
            </w:pPr>
            <w:r>
              <w:rPr>
                <w:rFonts w:hint="default" w:ascii="Calibri" w:hAnsi="Calibri" w:cs="Calibri"/>
                <w:sz w:val="24"/>
                <w:szCs w:val="24"/>
              </w:rPr>
              <w:t>0.0%</w:t>
            </w:r>
          </w:p>
        </w:tc>
      </w:tr>
      <w:tr w14:paraId="19BBA959">
        <w:tblPrEx>
          <w:tblCellMar>
            <w:top w:w="0" w:type="dxa"/>
            <w:left w:w="108" w:type="dxa"/>
            <w:bottom w:w="0" w:type="dxa"/>
            <w:right w:w="108" w:type="dxa"/>
          </w:tblCellMar>
        </w:tblPrEx>
        <w:trPr>
          <w:jc w:val="center"/>
        </w:trPr>
        <w:tc>
          <w:tcPr>
            <w:tcW w:w="1560" w:type="dxa"/>
            <w:shd w:val="clear" w:color="auto" w:fill="F8FAFC"/>
            <w:tcMar>
              <w:top w:w="100" w:type="dxa"/>
              <w:left w:w="150" w:type="dxa"/>
              <w:bottom w:w="100" w:type="dxa"/>
              <w:right w:w="150" w:type="dxa"/>
            </w:tcMar>
          </w:tcPr>
          <w:p w14:paraId="3BC4EC97">
            <w:pPr>
              <w:rPr>
                <w:rFonts w:hint="default" w:ascii="Calibri" w:hAnsi="Calibri" w:cs="Calibri"/>
                <w:sz w:val="24"/>
                <w:szCs w:val="24"/>
              </w:rPr>
            </w:pPr>
            <w:r>
              <w:rPr>
                <w:rFonts w:hint="default" w:ascii="Calibri" w:hAnsi="Calibri" w:cs="Calibri"/>
                <w:sz w:val="24"/>
                <w:szCs w:val="24"/>
              </w:rPr>
              <w:t>EEG Analysis (3D)</w:t>
            </w:r>
          </w:p>
        </w:tc>
        <w:tc>
          <w:tcPr>
            <w:tcW w:w="1560" w:type="dxa"/>
            <w:shd w:val="clear" w:color="auto" w:fill="F8FAFC"/>
            <w:tcMar>
              <w:top w:w="100" w:type="dxa"/>
              <w:left w:w="150" w:type="dxa"/>
              <w:bottom w:w="100" w:type="dxa"/>
              <w:right w:w="150" w:type="dxa"/>
            </w:tcMar>
          </w:tcPr>
          <w:p w14:paraId="7534B5EB">
            <w:pPr>
              <w:rPr>
                <w:rFonts w:hint="default" w:ascii="Calibri" w:hAnsi="Calibri" w:cs="Calibri"/>
                <w:sz w:val="24"/>
                <w:szCs w:val="24"/>
              </w:rPr>
            </w:pPr>
            <w:r>
              <w:rPr>
                <w:rFonts w:hint="default" w:ascii="Calibri" w:hAnsi="Calibri" w:cs="Calibri"/>
                <w:sz w:val="24"/>
                <w:szCs w:val="24"/>
              </w:rPr>
              <w:t>Pipeline B</w:t>
            </w:r>
          </w:p>
        </w:tc>
        <w:tc>
          <w:tcPr>
            <w:tcW w:w="1560" w:type="dxa"/>
            <w:shd w:val="clear" w:color="auto" w:fill="F8FAFC"/>
            <w:tcMar>
              <w:top w:w="100" w:type="dxa"/>
              <w:left w:w="150" w:type="dxa"/>
              <w:bottom w:w="100" w:type="dxa"/>
              <w:right w:w="150" w:type="dxa"/>
            </w:tcMar>
          </w:tcPr>
          <w:p w14:paraId="622640E6">
            <w:pPr>
              <w:rPr>
                <w:rFonts w:hint="default" w:ascii="Calibri" w:hAnsi="Calibri" w:cs="Calibri"/>
                <w:sz w:val="24"/>
                <w:szCs w:val="24"/>
              </w:rPr>
            </w:pPr>
            <w:r>
              <w:rPr>
                <w:rFonts w:hint="default" w:ascii="Calibri" w:hAnsi="Calibri" w:cs="Calibri"/>
                <w:sz w:val="24"/>
                <w:szCs w:val="24"/>
              </w:rPr>
              <w:t>0.000</w:t>
            </w:r>
          </w:p>
        </w:tc>
        <w:tc>
          <w:tcPr>
            <w:tcW w:w="1560" w:type="dxa"/>
            <w:shd w:val="clear" w:color="auto" w:fill="F8FAFC"/>
            <w:tcMar>
              <w:top w:w="100" w:type="dxa"/>
              <w:left w:w="150" w:type="dxa"/>
              <w:bottom w:w="100" w:type="dxa"/>
              <w:right w:w="150" w:type="dxa"/>
            </w:tcMar>
          </w:tcPr>
          <w:p w14:paraId="2128F70D">
            <w:pPr>
              <w:rPr>
                <w:rFonts w:hint="default" w:ascii="Calibri" w:hAnsi="Calibri" w:cs="Calibri"/>
                <w:sz w:val="24"/>
                <w:szCs w:val="24"/>
              </w:rPr>
            </w:pPr>
            <w:r>
              <w:rPr>
                <w:rFonts w:hint="default" w:ascii="Calibri" w:hAnsi="Calibri" w:cs="Calibri"/>
                <w:sz w:val="24"/>
                <w:szCs w:val="24"/>
              </w:rPr>
              <w:t>100.0%</w:t>
            </w:r>
          </w:p>
        </w:tc>
        <w:tc>
          <w:tcPr>
            <w:tcW w:w="1560" w:type="dxa"/>
            <w:shd w:val="clear" w:color="auto" w:fill="F8FAFC"/>
            <w:tcMar>
              <w:top w:w="100" w:type="dxa"/>
              <w:left w:w="150" w:type="dxa"/>
              <w:bottom w:w="100" w:type="dxa"/>
              <w:right w:w="150" w:type="dxa"/>
            </w:tcMar>
          </w:tcPr>
          <w:p w14:paraId="19225F0D">
            <w:pPr>
              <w:rPr>
                <w:rFonts w:hint="default" w:ascii="Calibri" w:hAnsi="Calibri" w:cs="Calibri"/>
                <w:sz w:val="24"/>
                <w:szCs w:val="24"/>
              </w:rPr>
            </w:pPr>
            <w:r>
              <w:rPr>
                <w:rFonts w:hint="default" w:ascii="Calibri" w:hAnsi="Calibri" w:cs="Calibri"/>
                <w:sz w:val="24"/>
                <w:szCs w:val="24"/>
              </w:rPr>
              <w:t>0.000</w:t>
            </w:r>
          </w:p>
        </w:tc>
        <w:tc>
          <w:tcPr>
            <w:tcW w:w="1560" w:type="dxa"/>
            <w:shd w:val="clear" w:color="auto" w:fill="F8FAFC"/>
            <w:tcMar>
              <w:top w:w="100" w:type="dxa"/>
              <w:left w:w="150" w:type="dxa"/>
              <w:bottom w:w="100" w:type="dxa"/>
              <w:right w:w="150" w:type="dxa"/>
            </w:tcMar>
          </w:tcPr>
          <w:p w14:paraId="7E043BF6">
            <w:pPr>
              <w:rPr>
                <w:rFonts w:hint="default" w:ascii="Calibri" w:hAnsi="Calibri" w:cs="Calibri"/>
                <w:sz w:val="24"/>
                <w:szCs w:val="24"/>
              </w:rPr>
            </w:pPr>
            <w:r>
              <w:rPr>
                <w:rFonts w:hint="default" w:ascii="Calibri" w:hAnsi="Calibri" w:cs="Calibri"/>
                <w:sz w:val="24"/>
                <w:szCs w:val="24"/>
              </w:rPr>
              <w:t>0.0%</w:t>
            </w:r>
          </w:p>
        </w:tc>
      </w:tr>
    </w:tbl>
    <w:p w14:paraId="6D1B015E">
      <w:pPr>
        <w:spacing w:after="240"/>
        <w:rPr>
          <w:rFonts w:hint="default" w:ascii="Calibri" w:hAnsi="Calibri" w:cs="Calibri"/>
          <w:sz w:val="24"/>
          <w:szCs w:val="24"/>
        </w:rPr>
      </w:pPr>
    </w:p>
    <w:p w14:paraId="6811A602">
      <w:pPr>
        <w:spacing w:before="360" w:after="120"/>
        <w:rPr>
          <w:rFonts w:hint="default" w:ascii="Calibri" w:hAnsi="Calibri" w:cs="Calibri"/>
          <w:sz w:val="24"/>
          <w:szCs w:val="24"/>
        </w:rPr>
      </w:pPr>
      <w:r>
        <w:rPr>
          <w:rFonts w:hint="default" w:ascii="Calibri" w:hAnsi="Calibri" w:cs="Calibri"/>
          <w:b/>
          <w:color w:val="0F172A"/>
          <w:sz w:val="24"/>
          <w:szCs w:val="24"/>
        </w:rPr>
        <w:t>V. COMPARATIVE ANALYSIS (ANSWERS TO ESSENTIAL QUESTIONS)</w:t>
      </w:r>
    </w:p>
    <w:p w14:paraId="75993802">
      <w:pPr>
        <w:rPr>
          <w:rFonts w:hint="default" w:ascii="Calibri" w:hAnsi="Calibri" w:cs="Calibri"/>
          <w:sz w:val="24"/>
          <w:szCs w:val="24"/>
        </w:rPr>
      </w:pPr>
      <w:r>
        <w:rPr>
          <w:rFonts w:hint="default" w:ascii="Calibri" w:hAnsi="Calibri" w:cs="Calibri"/>
          <w:sz w:val="24"/>
          <w:szCs w:val="24"/>
        </w:rPr>
        <w:drawing>
          <wp:inline distT="0" distB="0" distL="114300" distR="114300">
            <wp:extent cx="4572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286000"/>
                    </a:xfrm>
                    <a:prstGeom prst="rect">
                      <a:avLst/>
                    </a:prstGeom>
                  </pic:spPr>
                </pic:pic>
              </a:graphicData>
            </a:graphic>
          </wp:inline>
        </w:drawing>
      </w:r>
    </w:p>
    <w:p w14:paraId="179A4533">
      <w:pPr>
        <w:spacing w:after="240"/>
        <w:jc w:val="center"/>
        <w:rPr>
          <w:rFonts w:hint="default" w:ascii="Calibri" w:hAnsi="Calibri" w:cs="Calibri"/>
          <w:sz w:val="24"/>
          <w:szCs w:val="24"/>
        </w:rPr>
      </w:pPr>
      <w:r>
        <w:rPr>
          <w:rFonts w:hint="default" w:ascii="Calibri" w:hAnsi="Calibri" w:cs="Calibri"/>
          <w:i/>
          <w:sz w:val="24"/>
          <w:szCs w:val="24"/>
        </w:rPr>
        <w:t>Fig. 3. Final Heatmap Comparative Analysis: F1 scores across configurations.</w:t>
      </w:r>
    </w:p>
    <w:p w14:paraId="6E109239">
      <w:pPr>
        <w:rPr>
          <w:rFonts w:hint="default" w:ascii="Calibri" w:hAnsi="Calibri" w:cs="Calibri"/>
          <w:sz w:val="24"/>
          <w:szCs w:val="24"/>
        </w:rPr>
      </w:pPr>
      <w:r>
        <w:rPr>
          <w:rFonts w:hint="default" w:ascii="Calibri" w:hAnsi="Calibri" w:cs="Calibri"/>
          <w:sz w:val="24"/>
          <w:szCs w:val="24"/>
        </w:rPr>
        <w:drawing>
          <wp:inline distT="0" distB="0" distL="114300" distR="114300">
            <wp:extent cx="457200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1371600"/>
                    </a:xfrm>
                    <a:prstGeom prst="rect">
                      <a:avLst/>
                    </a:prstGeom>
                  </pic:spPr>
                </pic:pic>
              </a:graphicData>
            </a:graphic>
          </wp:inline>
        </w:drawing>
      </w:r>
    </w:p>
    <w:p w14:paraId="4F9710B3">
      <w:pPr>
        <w:spacing w:after="240"/>
        <w:jc w:val="center"/>
        <w:rPr>
          <w:rFonts w:hint="default" w:ascii="Calibri" w:hAnsi="Calibri" w:cs="Calibri"/>
          <w:sz w:val="24"/>
          <w:szCs w:val="24"/>
        </w:rPr>
      </w:pPr>
      <w:r>
        <w:rPr>
          <w:rFonts w:hint="default" w:ascii="Calibri" w:hAnsi="Calibri" w:cs="Calibri"/>
          <w:i/>
          <w:sz w:val="24"/>
          <w:szCs w:val="24"/>
        </w:rPr>
        <w:t>Fig. 4. Pipeline Metric Comparison (Maximized F1 performance across A and B).</w:t>
      </w:r>
    </w:p>
    <w:p w14:paraId="2DA8E9A9">
      <w:pPr>
        <w:spacing w:after="240"/>
        <w:rPr>
          <w:rFonts w:hint="default" w:ascii="Calibri" w:hAnsi="Calibri" w:cs="Calibri"/>
          <w:sz w:val="24"/>
          <w:szCs w:val="24"/>
        </w:rPr>
      </w:pPr>
      <w:r>
        <w:rPr>
          <w:rFonts w:hint="default" w:ascii="Calibri" w:hAnsi="Calibri" w:cs="Calibri"/>
          <w:b/>
          <w:sz w:val="24"/>
          <w:szCs w:val="24"/>
        </w:rPr>
        <w:t>A. Does preprocessing order affect results?</w:t>
      </w:r>
      <w:r>
        <w:rPr>
          <w:rFonts w:hint="default" w:ascii="Calibri" w:hAnsi="Calibri" w:cs="Calibri"/>
          <w:b/>
          <w:sz w:val="24"/>
          <w:szCs w:val="24"/>
        </w:rPr>
        <w:br w:type="textWrapping"/>
      </w:r>
      <w:r>
        <w:rPr>
          <w:rFonts w:hint="default" w:ascii="Calibri" w:hAnsi="Calibri" w:cs="Calibri"/>
          <w:sz w:val="24"/>
          <w:szCs w:val="24"/>
        </w:rPr>
        <w:t xml:space="preserve">Yes. Preprocessing order significantly affects results. Applying continuous Butterworth filtering </w:t>
      </w:r>
      <w:bookmarkStart w:id="0" w:name="_GoBack"/>
      <w:bookmarkEnd w:id="0"/>
      <w:r>
        <w:rPr>
          <w:rFonts w:hint="default" w:ascii="Calibri" w:hAnsi="Calibri" w:cs="Calibri"/>
          <w:sz w:val="24"/>
          <w:szCs w:val="24"/>
        </w:rPr>
        <w:t>before statistical feature extraction (Pipeline A) achieves higher optimal F1 performance (0.371) compared to extracting features first and compressing via PCA (Pipeline B - 0.345). PCA is highly sensitive to noise variance; when run on unfiltered signals, it scales and compresses raw noise, degrading neural patterns.</w:t>
      </w:r>
    </w:p>
    <w:p w14:paraId="45D910AF">
      <w:pPr>
        <w:spacing w:after="240"/>
        <w:rPr>
          <w:rFonts w:hint="default" w:ascii="Calibri" w:hAnsi="Calibri" w:cs="Calibri"/>
          <w:sz w:val="24"/>
          <w:szCs w:val="24"/>
        </w:rPr>
      </w:pPr>
      <w:r>
        <w:rPr>
          <w:rFonts w:hint="default" w:ascii="Calibri" w:hAnsi="Calibri" w:cs="Calibri"/>
          <w:b/>
          <w:sz w:val="24"/>
          <w:szCs w:val="24"/>
        </w:rPr>
        <w:t>B. Which regularization generalizes best across datasets?</w:t>
      </w:r>
      <w:r>
        <w:rPr>
          <w:rFonts w:hint="default" w:ascii="Calibri" w:hAnsi="Calibri" w:cs="Calibri"/>
          <w:b/>
          <w:sz w:val="24"/>
          <w:szCs w:val="24"/>
        </w:rPr>
        <w:br w:type="textWrapping"/>
      </w:r>
      <w:r>
        <w:rPr>
          <w:rFonts w:hint="default" w:ascii="Calibri" w:hAnsi="Calibri" w:cs="Calibri"/>
          <w:sz w:val="24"/>
          <w:szCs w:val="24"/>
        </w:rPr>
        <w:t>L1 (Lasso) regularization generalizes best for high-dimensional, noisy time-series. It drove 82.5% of the features to exactly zero on the Recognition dataset while matching or exceeding L2 F1 performance. L2 (Ridge) is superior for highly independent, structured pre-extracted static tabular features (like BEED) where sparsity is not required.</w:t>
      </w:r>
    </w:p>
    <w:p w14:paraId="4D79E3BF">
      <w:pPr>
        <w:spacing w:after="240"/>
        <w:rPr>
          <w:rFonts w:hint="default" w:ascii="Calibri" w:hAnsi="Calibri" w:cs="Calibri"/>
          <w:sz w:val="24"/>
          <w:szCs w:val="24"/>
        </w:rPr>
      </w:pPr>
      <w:r>
        <w:rPr>
          <w:rFonts w:hint="default" w:ascii="Calibri" w:hAnsi="Calibri" w:cs="Calibri"/>
          <w:b/>
          <w:sz w:val="24"/>
          <w:szCs w:val="24"/>
        </w:rPr>
        <w:t>C. Does Elastic Net consistently outperform L1/L2?</w:t>
      </w:r>
      <w:r>
        <w:rPr>
          <w:rFonts w:hint="default" w:ascii="Calibri" w:hAnsi="Calibri" w:cs="Calibri"/>
          <w:b/>
          <w:sz w:val="24"/>
          <w:szCs w:val="24"/>
        </w:rPr>
        <w:br w:type="textWrapping"/>
      </w:r>
      <w:r>
        <w:rPr>
          <w:rFonts w:hint="default" w:ascii="Calibri" w:hAnsi="Calibri" w:cs="Calibri"/>
          <w:sz w:val="24"/>
          <w:szCs w:val="24"/>
        </w:rPr>
        <w:t>No. Elastic Net introduces unnecessary optimization complexity when features are highly independent or noise is random. It demands extensive hyperparameter searches (C and l1_ratio) and significantly longer execution times without yielding meaningful performance gains over a properly tuned L1 or L2 model.</w:t>
      </w:r>
    </w:p>
    <w:p w14:paraId="1B96C0BA">
      <w:pPr>
        <w:spacing w:after="360"/>
        <w:rPr>
          <w:rFonts w:hint="default" w:ascii="Calibri" w:hAnsi="Calibri" w:cs="Calibri"/>
          <w:sz w:val="24"/>
          <w:szCs w:val="24"/>
        </w:rPr>
      </w:pPr>
      <w:r>
        <w:rPr>
          <w:rFonts w:hint="default" w:ascii="Calibri" w:hAnsi="Calibri" w:cs="Calibri"/>
          <w:b/>
          <w:sz w:val="24"/>
          <w:szCs w:val="24"/>
        </w:rPr>
        <w:t>D. How does imbalance handling interact with regularization?</w:t>
      </w:r>
      <w:r>
        <w:rPr>
          <w:rFonts w:hint="default" w:ascii="Calibri" w:hAnsi="Calibri" w:cs="Calibri"/>
          <w:b/>
          <w:sz w:val="24"/>
          <w:szCs w:val="24"/>
        </w:rPr>
        <w:br w:type="textWrapping"/>
      </w:r>
      <w:r>
        <w:rPr>
          <w:rFonts w:hint="default" w:ascii="Calibri" w:hAnsi="Calibri" w:cs="Calibri"/>
          <w:sz w:val="24"/>
          <w:szCs w:val="24"/>
        </w:rPr>
        <w:t>Imbalance handling is a mathematical prerequisite. Without SMOTE or Class Weighting, the model falls into the accuracy trap, predicting the majority class perfectly. Regularization simply shrinks the weights of this majority-guessing model. Once SMOTE balances the training fold, a valid decision boundary is built, and regularization can then prevent overfitting to the synthesized minority samples.</w:t>
      </w:r>
    </w:p>
    <w:p w14:paraId="2F702FB9">
      <w:pPr>
        <w:spacing w:before="360" w:after="120"/>
        <w:rPr>
          <w:rFonts w:hint="default" w:ascii="Calibri" w:hAnsi="Calibri" w:cs="Calibri"/>
          <w:sz w:val="24"/>
          <w:szCs w:val="24"/>
        </w:rPr>
      </w:pPr>
      <w:r>
        <w:rPr>
          <w:rFonts w:hint="default" w:ascii="Calibri" w:hAnsi="Calibri" w:cs="Calibri"/>
          <w:b/>
          <w:color w:val="0F172A"/>
          <w:sz w:val="24"/>
          <w:szCs w:val="24"/>
        </w:rPr>
        <w:t>VI. CONCLUSION</w:t>
      </w:r>
    </w:p>
    <w:p w14:paraId="1557DEEA">
      <w:pPr>
        <w:rPr>
          <w:rFonts w:hint="default" w:ascii="Calibri" w:hAnsi="Calibri" w:cs="Calibri"/>
          <w:sz w:val="24"/>
          <w:szCs w:val="24"/>
        </w:rPr>
      </w:pPr>
      <w:r>
        <w:rPr>
          <w:rFonts w:hint="default" w:ascii="Calibri" w:hAnsi="Calibri" w:cs="Calibri"/>
          <w:sz w:val="24"/>
          <w:szCs w:val="24"/>
        </w:rPr>
        <w:t>This empirical investigation demonstrates that achieving clinical-grade generalizations in EEG classification requires a careful, order-sensitive combination of continuous wave filtering, chronological feature segmentation, strict leak-free SMOTE training, and sparse regularization. The final results provide solid benchmarks for future clinical development.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4132D7"/>
    <w:rsid w:val="210158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1037</Words>
  <Characters>6636</Characters>
  <Lines>0</Lines>
  <Paragraphs>0</Paragraphs>
  <TotalTime>1</TotalTime>
  <ScaleCrop>false</ScaleCrop>
  <LinksUpToDate>false</LinksUpToDate>
  <CharactersWithSpaces>7557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Hashir Ali</cp:lastModifiedBy>
  <dcterms:modified xsi:type="dcterms:W3CDTF">2026-05-17T19:40:04Z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eyJoZGlkIjoiYmEwYjg1NWNhMWYzZmY4MTJhNWE0YjhiYmU2Nzc1MDYiLCJ1c2VySWQiOiIxOTQxODY4NzQ4MDM3In0=</vt:lpwstr>
  </property>
  <property fmtid="{D5CDD505-2E9C-101B-9397-08002B2CF9AE}" pid="3" name="KSOProductBuildVer">
    <vt:lpwstr>1033-12.1.0.26372</vt:lpwstr>
  </property>
  <property fmtid="{D5CDD505-2E9C-101B-9397-08002B2CF9AE}" pid="4" name="ICV">
    <vt:lpwstr>ACE86A00776A482991CE9C1825FE9AAC_12</vt:lpwstr>
  </property>
</Properties>
</file>