
<file path=[Content_Types].xml><?xml version="1.0" encoding="utf-8"?>
<Types xmlns="http://schemas.openxmlformats.org/package/2006/content-types">
  <Default Extension="jpeg" ContentType="image/jpeg"/>
  <Default Extension="png" ContentType="image/pn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spacing w:after="100"/>
      </w:pPr>
      <w:r>
        <w:rPr>
          <w:rFonts w:ascii="Arial" w:hAnsi="Arial"/>
          <w:color w:val="000000"/>
          <w:sz w:val="19"/>
        </w:rPr>
        <w:drawing>
          <wp:inline xmlns:a="http://schemas.openxmlformats.org/drawingml/2006/main" xmlns:pic="http://schemas.openxmlformats.org/drawingml/2006/picture">
            <wp:extent cx="1691640" cy="354439"/>
            <wp:docPr id="1" name="Picture 1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logo-ink.png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1691640" cy="354439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pStyle w:val="Title"/>
      </w:pPr>
      <w:r>
        <w:rPr>
          <w:rFonts w:ascii="Arial" w:hAnsi="Arial"/>
          <w:color w:val="000000"/>
          <w:sz w:val="36"/>
        </w:rPr>
        <w:t>Sony AIT-2 Advanced Intelligent Tape 50 GB</w:t>
      </w:r>
    </w:p>
    <w:p>
      <w:r>
        <w:rPr>
          <w:rFonts w:ascii="Arial" w:hAnsi="Arial"/>
          <w:b/>
          <w:color w:val="000000"/>
          <w:sz w:val="19"/>
        </w:rPr>
        <w:t xml:space="preserve">PRODUCT SPECIFICATIONS  </w:t>
      </w:r>
      <w:r>
        <w:rPr>
          <w:rFonts w:ascii="Arial" w:hAnsi="Arial"/>
          <w:color w:val="000000"/>
          <w:sz w:val="19"/>
        </w:rPr>
        <w:t>OG-102  |  DEMO-SON-102</w:t>
      </w:r>
    </w:p>
    <w:p>
      <w:r>
        <w:rPr>
          <w:rFonts w:ascii="Arial" w:hAnsi="Arial"/>
          <w:color w:val="000000"/>
          <w:sz w:val="19"/>
        </w:rPr>
        <w:t>AIT-2 Advanced Intelligent Tape 50 GB for ait backup rotation. An educational sample with clearly stated compatibility.</w:t>
      </w:r>
    </w:p>
    <w:p>
      <w:r>
        <w:rPr>
          <w:rFonts w:ascii="Arial" w:hAnsi="Arial"/>
          <w:b/>
          <w:color w:val="000000"/>
          <w:sz w:val="19"/>
        </w:rPr>
        <w:t xml:space="preserve">Brand: </w:t>
      </w:r>
      <w:r>
        <w:rPr>
          <w:rFonts w:ascii="Arial" w:hAnsi="Arial"/>
          <w:color w:val="000000"/>
          <w:sz w:val="19"/>
        </w:rPr>
        <w:t xml:space="preserve">Sony   </w:t>
      </w:r>
      <w:r>
        <w:rPr>
          <w:rFonts w:ascii="Arial" w:hAnsi="Arial"/>
          <w:b/>
          <w:color w:val="000000"/>
          <w:sz w:val="19"/>
        </w:rPr>
        <w:t xml:space="preserve">Category: </w:t>
      </w:r>
      <w:r>
        <w:rPr>
          <w:rFonts w:ascii="Arial" w:hAnsi="Arial"/>
          <w:color w:val="000000"/>
          <w:sz w:val="19"/>
        </w:rPr>
        <w:t>AIT tapes</w:t>
      </w:r>
    </w:p>
    <w:p>
      <w:r>
        <w:rPr>
          <w:rFonts w:ascii="Arial" w:hAnsi="Arial"/>
          <w:b/>
          <w:color w:val="000000"/>
          <w:sz w:val="19"/>
        </w:rPr>
        <w:t xml:space="preserve">Demo price: </w:t>
      </w:r>
      <w:r>
        <w:rPr>
          <w:rFonts w:ascii="Arial" w:hAnsi="Arial"/>
          <w:color w:val="000000"/>
          <w:sz w:val="19"/>
        </w:rPr>
        <w:t>PKR 6,000.00 per listed pack or unit. Not a purchasable offer.</w:t>
      </w:r>
    </w:p>
    <w:p>
      <w:pPr>
        <w:pStyle w:val="Heading1"/>
      </w:pPr>
      <w:r>
        <w:rPr>
          <w:rFonts w:ascii="Arial" w:hAnsi="Arial"/>
          <w:color w:val="000000"/>
          <w:sz w:val="22"/>
        </w:rPr>
        <w:t>Technical specifications</w:t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  <w:tblBorders>
          <w:top w:val="single" w:sz="4" w:color="D9D9D9"/>
          <w:left w:val="single" w:sz="4" w:color="D9D9D9"/>
          <w:bottom w:val="single" w:sz="4" w:color="D9D9D9"/>
          <w:right w:val="single" w:sz="4" w:color="D9D9D9"/>
          <w:insideH w:val="single" w:sz="4" w:color="D9D9D9"/>
          <w:insideV w:val="single" w:sz="4" w:color="D9D9D9"/>
        </w:tblBorders>
      </w:tblPr>
      <w:tblGrid>
        <w:gridCol w:w="3024"/>
        <w:gridCol w:w="7056"/>
      </w:tblGrid>
      <w:tr>
        <w:trPr>
          <w:cantSplit/>
          <w:tblHeader/>
        </w:trPr>
        <w:tc>
          <w:tcPr>
            <w:tcW w:type="dxa" w:w="3024"/>
            <w:vAlign w:val="center"/>
            <w:tcMar>
              <w:top w:w="75" w:type="dxa"/>
              <w:left w:w="75" w:type="dxa"/>
              <w:bottom w:w="75" w:type="dxa"/>
              <w:right w:w="75" w:type="dxa"/>
            </w:tcMar>
            <w:shd w:fill="E8EDF2"/>
          </w:tcPr>
          <w:p>
            <w:pPr>
              <w:spacing w:after="60" w:before="60"/>
            </w:pPr>
            <w:r>
              <w:rPr>
                <w:rFonts w:ascii="Arial" w:hAnsi="Arial"/>
                <w:b/>
                <w:color w:val="000000"/>
                <w:sz w:val="18"/>
              </w:rPr>
              <w:t>Specification</w:t>
            </w:r>
          </w:p>
        </w:tc>
        <w:tc>
          <w:tcPr>
            <w:tcW w:type="dxa" w:w="7056"/>
            <w:vAlign w:val="center"/>
            <w:tcMar>
              <w:top w:w="75" w:type="dxa"/>
              <w:left w:w="75" w:type="dxa"/>
              <w:bottom w:w="75" w:type="dxa"/>
              <w:right w:w="75" w:type="dxa"/>
            </w:tcMar>
            <w:shd w:fill="E8EDF2"/>
          </w:tcPr>
          <w:p>
            <w:pPr>
              <w:spacing w:after="60" w:before="60"/>
            </w:pPr>
            <w:r>
              <w:rPr>
                <w:rFonts w:ascii="Arial" w:hAnsi="Arial"/>
                <w:b/>
                <w:color w:val="000000"/>
                <w:sz w:val="18"/>
              </w:rPr>
              <w:t>Value</w:t>
            </w:r>
          </w:p>
        </w:tc>
      </w:tr>
      <w:tr>
        <w:trPr>
          <w:cantSplit/>
        </w:trPr>
        <w:tc>
          <w:tcPr>
            <w:tcW w:type="dxa" w:w="3024"/>
            <w:vAlign w:val="center"/>
            <w:tcMar>
              <w:top w:w="75" w:type="dxa"/>
              <w:left w:w="75" w:type="dxa"/>
              <w:bottom w:w="75" w:type="dxa"/>
              <w:right w:w="75" w:type="dxa"/>
            </w:tcMar>
          </w:tcPr>
          <w:p>
            <w:pPr>
              <w:spacing w:after="60" w:before="60"/>
            </w:pPr>
            <w:r>
              <w:rPr>
                <w:rFonts w:ascii="Arial" w:hAnsi="Arial"/>
                <w:b w:val="0"/>
                <w:color w:val="000000"/>
                <w:sz w:val="18"/>
              </w:rPr>
              <w:t>Format</w:t>
            </w:r>
          </w:p>
        </w:tc>
        <w:tc>
          <w:tcPr>
            <w:tcW w:type="dxa" w:w="7056"/>
            <w:vAlign w:val="center"/>
            <w:tcMar>
              <w:top w:w="75" w:type="dxa"/>
              <w:left w:w="75" w:type="dxa"/>
              <w:bottom w:w="75" w:type="dxa"/>
              <w:right w:w="75" w:type="dxa"/>
            </w:tcMar>
          </w:tcPr>
          <w:p>
            <w:pPr>
              <w:spacing w:after="60" w:before="60"/>
            </w:pPr>
            <w:r>
              <w:rPr>
                <w:rFonts w:ascii="Arial" w:hAnsi="Arial"/>
                <w:b w:val="0"/>
                <w:color w:val="000000"/>
                <w:sz w:val="18"/>
              </w:rPr>
              <w:t>AIT-2</w:t>
            </w:r>
          </w:p>
        </w:tc>
      </w:tr>
      <w:tr>
        <w:trPr>
          <w:cantSplit/>
        </w:trPr>
        <w:tc>
          <w:tcPr>
            <w:tcW w:type="dxa" w:w="3024"/>
            <w:vAlign w:val="center"/>
            <w:tcMar>
              <w:top w:w="75" w:type="dxa"/>
              <w:left w:w="75" w:type="dxa"/>
              <w:bottom w:w="75" w:type="dxa"/>
              <w:right w:w="75" w:type="dxa"/>
            </w:tcMar>
            <w:shd w:fill="F5F7F9"/>
          </w:tcPr>
          <w:p>
            <w:pPr>
              <w:spacing w:after="60" w:before="60"/>
            </w:pPr>
            <w:r>
              <w:rPr>
                <w:rFonts w:ascii="Arial" w:hAnsi="Arial"/>
                <w:b w:val="0"/>
                <w:color w:val="000000"/>
                <w:sz w:val="18"/>
              </w:rPr>
              <w:t>Tape width</w:t>
            </w:r>
          </w:p>
        </w:tc>
        <w:tc>
          <w:tcPr>
            <w:tcW w:type="dxa" w:w="7056"/>
            <w:vAlign w:val="center"/>
            <w:tcMar>
              <w:top w:w="75" w:type="dxa"/>
              <w:left w:w="75" w:type="dxa"/>
              <w:bottom w:w="75" w:type="dxa"/>
              <w:right w:w="75" w:type="dxa"/>
            </w:tcMar>
            <w:shd w:fill="F5F7F9"/>
          </w:tcPr>
          <w:p>
            <w:pPr>
              <w:spacing w:after="60" w:before="60"/>
            </w:pPr>
            <w:r>
              <w:rPr>
                <w:rFonts w:ascii="Arial" w:hAnsi="Arial"/>
                <w:b w:val="0"/>
                <w:color w:val="000000"/>
                <w:sz w:val="18"/>
              </w:rPr>
              <w:t>8 mm</w:t>
            </w:r>
          </w:p>
        </w:tc>
      </w:tr>
      <w:tr>
        <w:trPr>
          <w:cantSplit/>
        </w:trPr>
        <w:tc>
          <w:tcPr>
            <w:tcW w:type="dxa" w:w="3024"/>
            <w:vAlign w:val="center"/>
            <w:tcMar>
              <w:top w:w="75" w:type="dxa"/>
              <w:left w:w="75" w:type="dxa"/>
              <w:bottom w:w="75" w:type="dxa"/>
              <w:right w:w="75" w:type="dxa"/>
            </w:tcMar>
          </w:tcPr>
          <w:p>
            <w:pPr>
              <w:spacing w:after="60" w:before="60"/>
            </w:pPr>
            <w:r>
              <w:rPr>
                <w:rFonts w:ascii="Arial" w:hAnsi="Arial"/>
                <w:b w:val="0"/>
                <w:color w:val="000000"/>
                <w:sz w:val="18"/>
              </w:rPr>
              <w:t>Native capacity</w:t>
            </w:r>
          </w:p>
        </w:tc>
        <w:tc>
          <w:tcPr>
            <w:tcW w:type="dxa" w:w="7056"/>
            <w:vAlign w:val="center"/>
            <w:tcMar>
              <w:top w:w="75" w:type="dxa"/>
              <w:left w:w="75" w:type="dxa"/>
              <w:bottom w:w="75" w:type="dxa"/>
              <w:right w:w="75" w:type="dxa"/>
            </w:tcMar>
          </w:tcPr>
          <w:p>
            <w:pPr>
              <w:spacing w:after="60" w:before="60"/>
            </w:pPr>
            <w:r>
              <w:rPr>
                <w:rFonts w:ascii="Arial" w:hAnsi="Arial"/>
                <w:b w:val="0"/>
                <w:color w:val="000000"/>
                <w:sz w:val="18"/>
              </w:rPr>
              <w:t>50 GB</w:t>
            </w:r>
          </w:p>
        </w:tc>
      </w:tr>
      <w:tr>
        <w:trPr>
          <w:cantSplit/>
        </w:trPr>
        <w:tc>
          <w:tcPr>
            <w:tcW w:type="dxa" w:w="3024"/>
            <w:vAlign w:val="center"/>
            <w:tcMar>
              <w:top w:w="75" w:type="dxa"/>
              <w:left w:w="75" w:type="dxa"/>
              <w:bottom w:w="75" w:type="dxa"/>
              <w:right w:w="75" w:type="dxa"/>
            </w:tcMar>
            <w:shd w:fill="F5F7F9"/>
          </w:tcPr>
          <w:p>
            <w:pPr>
              <w:spacing w:after="60" w:before="60"/>
            </w:pPr>
            <w:r>
              <w:rPr>
                <w:rFonts w:ascii="Arial" w:hAnsi="Arial"/>
                <w:b w:val="0"/>
                <w:color w:val="000000"/>
                <w:sz w:val="18"/>
              </w:rPr>
              <w:t>Compressed capacity</w:t>
            </w:r>
          </w:p>
        </w:tc>
        <w:tc>
          <w:tcPr>
            <w:tcW w:type="dxa" w:w="7056"/>
            <w:vAlign w:val="center"/>
            <w:tcMar>
              <w:top w:w="75" w:type="dxa"/>
              <w:left w:w="75" w:type="dxa"/>
              <w:bottom w:w="75" w:type="dxa"/>
              <w:right w:w="75" w:type="dxa"/>
            </w:tcMar>
            <w:shd w:fill="F5F7F9"/>
          </w:tcPr>
          <w:p>
            <w:pPr>
              <w:spacing w:after="60" w:before="60"/>
            </w:pPr>
            <w:r>
              <w:rPr>
                <w:rFonts w:ascii="Arial" w:hAnsi="Arial"/>
                <w:b w:val="0"/>
                <w:color w:val="000000"/>
                <w:sz w:val="18"/>
              </w:rPr>
              <w:t>130 GB</w:t>
            </w:r>
          </w:p>
        </w:tc>
      </w:tr>
      <w:tr>
        <w:trPr>
          <w:cantSplit/>
        </w:trPr>
        <w:tc>
          <w:tcPr>
            <w:tcW w:type="dxa" w:w="3024"/>
            <w:vAlign w:val="center"/>
            <w:tcMar>
              <w:top w:w="75" w:type="dxa"/>
              <w:left w:w="75" w:type="dxa"/>
              <w:bottom w:w="75" w:type="dxa"/>
              <w:right w:w="75" w:type="dxa"/>
            </w:tcMar>
          </w:tcPr>
          <w:p>
            <w:pPr>
              <w:spacing w:after="60" w:before="60"/>
            </w:pPr>
            <w:r>
              <w:rPr>
                <w:rFonts w:ascii="Arial" w:hAnsi="Arial"/>
                <w:b w:val="0"/>
                <w:color w:val="000000"/>
                <w:sz w:val="18"/>
              </w:rPr>
              <w:t>Compression assumption</w:t>
            </w:r>
          </w:p>
        </w:tc>
        <w:tc>
          <w:tcPr>
            <w:tcW w:type="dxa" w:w="7056"/>
            <w:vAlign w:val="center"/>
            <w:tcMar>
              <w:top w:w="75" w:type="dxa"/>
              <w:left w:w="75" w:type="dxa"/>
              <w:bottom w:w="75" w:type="dxa"/>
              <w:right w:w="75" w:type="dxa"/>
            </w:tcMar>
          </w:tcPr>
          <w:p>
            <w:pPr>
              <w:spacing w:after="60" w:before="60"/>
            </w:pPr>
            <w:r>
              <w:rPr>
                <w:rFonts w:ascii="Arial" w:hAnsi="Arial"/>
                <w:b w:val="0"/>
                <w:color w:val="000000"/>
                <w:sz w:val="18"/>
              </w:rPr>
              <w:t>2.6:1; actual ratio depends on data</w:t>
            </w:r>
          </w:p>
        </w:tc>
      </w:tr>
      <w:tr>
        <w:trPr>
          <w:cantSplit/>
        </w:trPr>
        <w:tc>
          <w:tcPr>
            <w:tcW w:type="dxa" w:w="3024"/>
            <w:vAlign w:val="center"/>
            <w:tcMar>
              <w:top w:w="75" w:type="dxa"/>
              <w:left w:w="75" w:type="dxa"/>
              <w:bottom w:w="75" w:type="dxa"/>
              <w:right w:w="75" w:type="dxa"/>
            </w:tcMar>
            <w:shd w:fill="F5F7F9"/>
          </w:tcPr>
          <w:p>
            <w:pPr>
              <w:spacing w:after="60" w:before="60"/>
            </w:pPr>
            <w:r>
              <w:rPr>
                <w:rFonts w:ascii="Arial" w:hAnsi="Arial"/>
                <w:b w:val="0"/>
                <w:color w:val="000000"/>
                <w:sz w:val="18"/>
              </w:rPr>
              <w:t>Pack size</w:t>
            </w:r>
          </w:p>
        </w:tc>
        <w:tc>
          <w:tcPr>
            <w:tcW w:type="dxa" w:w="7056"/>
            <w:vAlign w:val="center"/>
            <w:tcMar>
              <w:top w:w="75" w:type="dxa"/>
              <w:left w:w="75" w:type="dxa"/>
              <w:bottom w:w="75" w:type="dxa"/>
              <w:right w:w="75" w:type="dxa"/>
            </w:tcMar>
            <w:shd w:fill="F5F7F9"/>
          </w:tcPr>
          <w:p>
            <w:pPr>
              <w:spacing w:after="60" w:before="60"/>
            </w:pPr>
            <w:r>
              <w:rPr>
                <w:rFonts w:ascii="Arial" w:hAnsi="Arial"/>
                <w:b w:val="0"/>
                <w:color w:val="000000"/>
                <w:sz w:val="18"/>
              </w:rPr>
              <w:t>1 cartridge</w:t>
            </w:r>
          </w:p>
        </w:tc>
      </w:tr>
    </w:tbl>
    <w:p>
      <w:pPr>
        <w:pStyle w:val="Heading1"/>
      </w:pPr>
      <w:r>
        <w:rPr>
          <w:rFonts w:ascii="Arial" w:hAnsi="Arial"/>
          <w:color w:val="000000"/>
          <w:sz w:val="22"/>
        </w:rPr>
        <w:t>Features</w:t>
      </w:r>
    </w:p>
    <w:p>
      <w:pPr>
        <w:pStyle w:val="ListBullet"/>
        <w:spacing w:after="20"/>
      </w:pPr>
      <w:r>
        <w:rPr>
          <w:rFonts w:ascii="Arial" w:hAnsi="Arial"/>
          <w:color w:val="000000"/>
          <w:sz w:val="19"/>
        </w:rPr>
        <w:t>Format: AIT-2</w:t>
      </w:r>
    </w:p>
    <w:p>
      <w:pPr>
        <w:pStyle w:val="ListBullet"/>
        <w:spacing w:after="20"/>
      </w:pPr>
      <w:r>
        <w:rPr>
          <w:rFonts w:ascii="Arial" w:hAnsi="Arial"/>
          <w:color w:val="000000"/>
          <w:sz w:val="19"/>
        </w:rPr>
        <w:t>Tape width: 8 mm</w:t>
      </w:r>
    </w:p>
    <w:p>
      <w:pPr>
        <w:pStyle w:val="ListBullet"/>
        <w:spacing w:after="20"/>
      </w:pPr>
      <w:r>
        <w:rPr>
          <w:rFonts w:ascii="Arial" w:hAnsi="Arial"/>
          <w:color w:val="000000"/>
          <w:sz w:val="19"/>
        </w:rPr>
        <w:t>Native capacity: 50 GB</w:t>
      </w:r>
    </w:p>
    <w:p>
      <w:pPr>
        <w:pStyle w:val="Heading1"/>
      </w:pPr>
      <w:r>
        <w:rPr>
          <w:rFonts w:ascii="Arial" w:hAnsi="Arial"/>
          <w:color w:val="000000"/>
          <w:sz w:val="22"/>
        </w:rPr>
        <w:t>Compatibility and use</w:t>
      </w:r>
    </w:p>
    <w:p>
      <w:r>
        <w:rPr>
          <w:rFonts w:ascii="Arial" w:hAnsi="Arial"/>
          <w:color w:val="000000"/>
          <w:sz w:val="19"/>
        </w:rPr>
        <w:t>Requires a drive explicitly supporting AIT-2; AIT generation compatibility must be checked before purchase.</w:t>
      </w:r>
    </w:p>
    <w:p>
      <w:r>
        <w:rPr>
          <w:rFonts w:ascii="Arial" w:hAnsi="Arial"/>
          <w:b/>
          <w:color w:val="000000"/>
          <w:sz w:val="19"/>
        </w:rPr>
        <w:t xml:space="preserve">Suitable use cases: </w:t>
      </w:r>
      <w:r>
        <w:rPr>
          <w:rFonts w:ascii="Arial" w:hAnsi="Arial"/>
          <w:color w:val="000000"/>
          <w:sz w:val="19"/>
        </w:rPr>
        <w:t>AIT backup rotation; Long-term retention within an AIT workflow.</w:t>
      </w:r>
    </w:p>
    <w:p>
      <w:r>
        <w:rPr>
          <w:rFonts w:ascii="Arial" w:hAnsi="Arial"/>
          <w:b/>
          <w:color w:val="000000"/>
          <w:sz w:val="16"/>
        </w:rPr>
        <w:t xml:space="preserve">Educational sample. </w:t>
      </w:r>
      <w:r>
        <w:rPr>
          <w:rFonts w:ascii="Arial" w:hAnsi="Arial"/>
          <w:color w:val="000000"/>
          <w:sz w:val="16"/>
        </w:rPr>
        <w:t>Demo SKU, price and specifications are illustrative, not manufacturer-verified. Confirm actual media and equipment compatibility with the supplier before use. Brand names identify example catalogue groupings; no affiliation is claimed.</w:t>
      </w:r>
    </w:p>
    <w:sectPr w:rsidR="00FC693F" w:rsidRPr="0006063C" w:rsidSect="00034616">
      <w:pgSz w:w="12240" w:h="15840"/>
      <w:pgMar w:top="792" w:right="1080" w:bottom="792" w:left="108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pPr>
      <w:spacing w:after="100" w:line="252" w:lineRule="auto"/>
    </w:pPr>
    <w:rPr>
      <w:rFonts w:ascii="Arial" w:hAnsi="Arial"/>
      <w:sz w:val="19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160" w:after="100"/>
      <w:outlineLvl w:val="0"/>
    </w:pPr>
    <w:rPr>
      <w:rFonts w:ascii="Arial" w:hAnsi="Arial"/>
      <w:b/>
      <w:bCs/>
      <w:color w:val="000000"/>
      <w:sz w:val="22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160" w:after="100"/>
      <w:outlineLvl w:val="1"/>
    </w:pPr>
    <w:rPr>
      <w:rFonts w:ascii="Arial" w:hAnsi="Arial"/>
      <w:b/>
      <w:bCs/>
      <w:color w:val="000000"/>
      <w:sz w:val="20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="Arial" w:hAnsi="Arial"/>
      <w:b/>
      <w:bCs/>
      <w:color w:val="000000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="Arial" w:hAnsi="Arial"/>
      <w:b/>
      <w:bCs/>
      <w:i/>
      <w:iCs/>
      <w:color w:val="000000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="Arial" w:hAnsi="Arial"/>
      <w:color w:val="000000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="Arial" w:hAnsi="Arial"/>
      <w:i/>
      <w:iCs/>
      <w:color w:val="000000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="Arial" w:hAnsi="Arial"/>
      <w:i/>
      <w:iCs/>
      <w:color w:val="000000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="Arial" w:hAnsi="Arial"/>
      <w:color w:val="000000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="Arial" w:hAnsi="Arial"/>
      <w:i/>
      <w:iCs/>
      <w:color w:val="000000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="Arial" w:hAnsi="Arial"/>
      <w:b/>
      <w:bCs/>
      <w:color w:val="000000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="Arial" w:hAnsi="Arial"/>
      <w:b/>
      <w:bCs/>
      <w:color w:val="000000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="Arial" w:hAnsi="Arial"/>
      <w:b/>
      <w:bCs/>
      <w:color w:val="000000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spacing w:after="100" w:line="240" w:lineRule="auto" w:before="160"/>
      <w:contextualSpacing/>
    </w:pPr>
    <w:rPr>
      <w:rFonts w:ascii="Arial" w:hAnsi="Arial"/>
      <w:color w:val="000000"/>
      <w:spacing w:val="5"/>
      <w:kern w:val="28"/>
      <w:sz w:val="36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="Arial" w:hAnsi="Arial"/>
      <w:color w:val="000000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="Arial" w:hAnsi="Arial"/>
      <w:i/>
      <w:iCs/>
      <w:color w:val="000000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="Arial" w:hAnsi="Arial"/>
      <w:i/>
      <w:iCs/>
      <w:color w:val="000000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Arial" w:hAnsi="Arial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Arial" w:hAnsi="Arial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="Arial" w:hAnsi="Arial"/>
      <w:b/>
      <w:bCs/>
      <w:i/>
      <w:iCs/>
      <w:color w:val="000000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="Arial" w:hAnsi="Arial"/>
      <w:color w:val="000000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="Arial" w:hAnsi="Arial"/>
      <w:i/>
      <w:iCs/>
      <w:color w:val="000000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="Arial" w:hAnsi="Arial"/>
      <w:i/>
      <w:iCs/>
      <w:color w:val="000000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="Arial" w:hAnsi="Arial"/>
      <w:color w:val="000000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="Arial" w:hAnsi="Arial"/>
      <w:i/>
      <w:iCs/>
      <w:color w:val="000000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000000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spacing w:before="200" w:after="280"/>
      <w:ind w:left="936" w:right="936"/>
    </w:pPr>
    <w:rPr>
      <w:b/>
      <w:bCs/>
      <w:i/>
      <w:iCs/>
      <w:color w:val="000000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000000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000000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000000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000000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000000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000000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000000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000000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000000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000000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000000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000000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000000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000000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000000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000000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000000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000000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="Arial" w:hAnsi="Arial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="Arial" w:hAnsi="Arial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="Arial" w:hAnsi="Arial"/>
        <w:b/>
        <w:bCs/>
      </w:rPr>
    </w:tblStylePr>
    <w:tblStylePr w:type="lastCol">
      <w:rPr>
        <w:rFonts w:ascii="Arial" w:hAnsi="Arial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="Arial" w:hAnsi="Arial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="Arial" w:hAnsi="Arial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="Arial" w:hAnsi="Arial"/>
        <w:b/>
        <w:bCs/>
      </w:rPr>
    </w:tblStylePr>
    <w:tblStylePr w:type="lastCol">
      <w:rPr>
        <w:rFonts w:ascii="Arial" w:hAnsi="Arial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="Arial" w:hAnsi="Arial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="Arial" w:hAnsi="Arial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="Arial" w:hAnsi="Arial"/>
        <w:b/>
        <w:bCs/>
      </w:rPr>
    </w:tblStylePr>
    <w:tblStylePr w:type="lastCol">
      <w:rPr>
        <w:rFonts w:ascii="Arial" w:hAnsi="Arial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="Arial" w:hAnsi="Arial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="Arial" w:hAnsi="Arial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="Arial" w:hAnsi="Arial"/>
        <w:b/>
        <w:bCs/>
      </w:rPr>
    </w:tblStylePr>
    <w:tblStylePr w:type="lastCol">
      <w:rPr>
        <w:rFonts w:ascii="Arial" w:hAnsi="Arial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="Arial" w:hAnsi="Arial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="Arial" w:hAnsi="Arial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="Arial" w:hAnsi="Arial"/>
        <w:b/>
        <w:bCs/>
      </w:rPr>
    </w:tblStylePr>
    <w:tblStylePr w:type="lastCol">
      <w:rPr>
        <w:rFonts w:ascii="Arial" w:hAnsi="Arial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="Arial" w:hAnsi="Arial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="Arial" w:hAnsi="Arial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="Arial" w:hAnsi="Arial"/>
        <w:b/>
        <w:bCs/>
      </w:rPr>
    </w:tblStylePr>
    <w:tblStylePr w:type="lastCol">
      <w:rPr>
        <w:rFonts w:ascii="Arial" w:hAnsi="Arial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="Arial" w:hAnsi="Arial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="Arial" w:hAnsi="Arial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="Arial" w:hAnsi="Arial"/>
        <w:b/>
        <w:bCs/>
      </w:rPr>
    </w:tblStylePr>
    <w:tblStylePr w:type="lastCol">
      <w:rPr>
        <w:rFonts w:ascii="Arial" w:hAnsi="Arial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000000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000000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000000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000000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000000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000000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000000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000000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000000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000000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000000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000000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000000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000000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000000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000000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000000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000000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000000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000000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000000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000000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000000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000000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000000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000000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000000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000000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000000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000000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000000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000000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000000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000000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000000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="Arial" w:hAnsi="Arial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000000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="Arial" w:hAnsi="Arial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000000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="Arial" w:hAnsi="Arial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000000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="Arial" w:hAnsi="Arial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000000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="Arial" w:hAnsi="Arial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000000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="Arial" w:hAnsi="Arial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000000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="Arial" w:hAnsi="Arial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000000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="Arial" w:hAnsi="Arial"/>
      <w:color w:val="000000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="Arial" w:hAnsi="Arial"/>
      <w:color w:val="000000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="Arial" w:hAnsi="Arial"/>
      <w:color w:val="000000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="Arial" w:hAnsi="Arial"/>
      <w:color w:val="000000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="Arial" w:hAnsi="Arial"/>
      <w:color w:val="000000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="Arial" w:hAnsi="Arial"/>
      <w:color w:val="000000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="Arial" w:hAnsi="Arial"/>
      <w:color w:val="000000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="Arial" w:hAnsi="Arial"/>
      <w:color w:val="000000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="Arial" w:hAnsi="Arial"/>
      <w:color w:val="000000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="Arial" w:hAnsi="Arial"/>
      <w:color w:val="000000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="Arial" w:hAnsi="Arial"/>
      <w:color w:val="000000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="Arial" w:hAnsi="Arial"/>
      <w:color w:val="000000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="Arial" w:hAnsi="Arial"/>
      <w:color w:val="000000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="Arial" w:hAnsi="Arial"/>
      <w:color w:val="000000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000000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000000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000000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000000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000000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000000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000000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000000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000000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000000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000000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000000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000000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000000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000000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000000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000000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000000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000000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000000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000000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000000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000000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000000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000000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000000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000000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000000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000000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000000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000000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000000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000000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000000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000000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000000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000000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000000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/>
      </w:rPr>
    </w:tblStylePr>
    <w:tblStylePr w:type="nwCell">
      <w:rPr>
        <w:color w:val="000000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000000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000000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000000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/>
      </w:rPr>
    </w:tblStylePr>
    <w:tblStylePr w:type="nwCell">
      <w:rPr>
        <w:color w:val="000000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000000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000000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000000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/>
      </w:rPr>
    </w:tblStylePr>
    <w:tblStylePr w:type="nwCell">
      <w:rPr>
        <w:color w:val="000000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000000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000000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000000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000000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000000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000000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/>
      </w:rPr>
    </w:tblStylePr>
    <w:tblStylePr w:type="nwCell">
      <w:rPr>
        <w:color w:val="000000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000000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000000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000000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/>
      </w:rPr>
    </w:tblStylePr>
    <w:tblStylePr w:type="nwCell">
      <w:rPr>
        <w:color w:val="000000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000000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000000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000000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/>
      </w:rPr>
    </w:tblStylePr>
    <w:tblStylePr w:type="nwCell">
      <w:rPr>
        <w:color w:val="000000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000000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000000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000000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000000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000000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000000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000000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000000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000000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000000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000000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000000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000000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000000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/>
      </w:rPr>
      <w:tblPr/>
      <w:tcPr>
        <w:shd w:val="clear" w:color="auto" w:fill="999999" w:themeFill="text1" w:themeFillTint="66"/>
      </w:tcPr>
    </w:tblStylePr>
    <w:tblStylePr w:type="firstCol">
      <w:rPr>
        <w:color w:val="000000"/>
      </w:rPr>
      <w:tblPr/>
      <w:tcPr>
        <w:shd w:val="clear" w:color="auto" w:fill="000000" w:themeFill="text1" w:themeFillShade="BF"/>
      </w:tcPr>
    </w:tblStylePr>
    <w:tblStylePr w:type="lastCol">
      <w:rPr>
        <w:color w:val="000000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/>
      </w:rPr>
      <w:tblPr/>
      <w:tcPr>
        <w:shd w:val="clear" w:color="auto" w:fill="B8CCE4" w:themeFill="accent1" w:themeFillTint="66"/>
      </w:tcPr>
    </w:tblStylePr>
    <w:tblStylePr w:type="firstCol">
      <w:rPr>
        <w:color w:val="000000"/>
      </w:rPr>
      <w:tblPr/>
      <w:tcPr>
        <w:shd w:val="clear" w:color="auto" w:fill="365F91" w:themeFill="accent1" w:themeFillShade="BF"/>
      </w:tcPr>
    </w:tblStylePr>
    <w:tblStylePr w:type="lastCol">
      <w:rPr>
        <w:color w:val="000000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/>
      </w:rPr>
      <w:tblPr/>
      <w:tcPr>
        <w:shd w:val="clear" w:color="auto" w:fill="E5B8B7" w:themeFill="accent2" w:themeFillTint="66"/>
      </w:tcPr>
    </w:tblStylePr>
    <w:tblStylePr w:type="firstCol">
      <w:rPr>
        <w:color w:val="000000"/>
      </w:rPr>
      <w:tblPr/>
      <w:tcPr>
        <w:shd w:val="clear" w:color="auto" w:fill="943634" w:themeFill="accent2" w:themeFillShade="BF"/>
      </w:tcPr>
    </w:tblStylePr>
    <w:tblStylePr w:type="lastCol">
      <w:rPr>
        <w:color w:val="000000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/>
      </w:rPr>
      <w:tblPr/>
      <w:tcPr>
        <w:shd w:val="clear" w:color="auto" w:fill="D6E3BC" w:themeFill="accent3" w:themeFillTint="66"/>
      </w:tcPr>
    </w:tblStylePr>
    <w:tblStylePr w:type="firstCol">
      <w:rPr>
        <w:color w:val="000000"/>
      </w:rPr>
      <w:tblPr/>
      <w:tcPr>
        <w:shd w:val="clear" w:color="auto" w:fill="76923C" w:themeFill="accent3" w:themeFillShade="BF"/>
      </w:tcPr>
    </w:tblStylePr>
    <w:tblStylePr w:type="lastCol">
      <w:rPr>
        <w:color w:val="000000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/>
      </w:rPr>
      <w:tblPr/>
      <w:tcPr>
        <w:shd w:val="clear" w:color="auto" w:fill="CCC0D9" w:themeFill="accent4" w:themeFillTint="66"/>
      </w:tcPr>
    </w:tblStylePr>
    <w:tblStylePr w:type="firstCol">
      <w:rPr>
        <w:color w:val="000000"/>
      </w:rPr>
      <w:tblPr/>
      <w:tcPr>
        <w:shd w:val="clear" w:color="auto" w:fill="5F497A" w:themeFill="accent4" w:themeFillShade="BF"/>
      </w:tcPr>
    </w:tblStylePr>
    <w:tblStylePr w:type="lastCol">
      <w:rPr>
        <w:color w:val="000000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/>
      </w:rPr>
      <w:tblPr/>
      <w:tcPr>
        <w:shd w:val="clear" w:color="auto" w:fill="B6DDE8" w:themeFill="accent5" w:themeFillTint="66"/>
      </w:tcPr>
    </w:tblStylePr>
    <w:tblStylePr w:type="firstCol">
      <w:rPr>
        <w:color w:val="000000"/>
      </w:rPr>
      <w:tblPr/>
      <w:tcPr>
        <w:shd w:val="clear" w:color="auto" w:fill="31849B" w:themeFill="accent5" w:themeFillShade="BF"/>
      </w:tcPr>
    </w:tblStylePr>
    <w:tblStylePr w:type="lastCol">
      <w:rPr>
        <w:color w:val="000000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/>
      </w:rPr>
      <w:tblPr/>
      <w:tcPr>
        <w:shd w:val="clear" w:color="auto" w:fill="FBD4B4" w:themeFill="accent6" w:themeFillTint="66"/>
      </w:tcPr>
    </w:tblStylePr>
    <w:tblStylePr w:type="firstCol">
      <w:rPr>
        <w:color w:val="000000"/>
      </w:rPr>
      <w:tblPr/>
      <w:tcPr>
        <w:shd w:val="clear" w:color="auto" w:fill="E36C0A" w:themeFill="accent6" w:themeFillShade="BF"/>
      </w:tcPr>
    </w:tblStylePr>
    <w:tblStylePr w:type="lastCol">
      <w:rPr>
        <w:color w:val="000000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Sony AIT-2 Advanced Intelligent Tape 50 GB Product Specifications</dc:title>
  <dc:subject>OceanGate educational catalogue specification</dc:subject>
  <dc:creator>OceanGate Limited educational project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