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AutoRed Security Assessment Report</w:t>
      </w:r>
    </w:p>
    <w:p>
      <w:pPr>
        <w:pStyle w:val="Heading1"/>
      </w:pPr>
      <w:r>
        <w:t>Scan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Scan Name</w:t>
            </w:r>
          </w:p>
        </w:tc>
        <w:tc>
          <w:tcPr>
            <w:tcW w:type="dxa" w:w="4320"/>
          </w:tcPr>
          <w:p>
            <w:r>
              <w:t>Test Scan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scanme.nmap.org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2026-05-09</w:t>
            </w:r>
          </w:p>
        </w:tc>
      </w:tr>
      <w:tr>
        <w:tc>
          <w:tcPr>
            <w:tcW w:type="dxa" w:w="4320"/>
          </w:tcPr>
          <w:p>
            <w:r>
              <w:t>Approval Ref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Info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Detailed Findings</w:t>
      </w:r>
    </w:p>
    <w:p>
      <w:pPr>
        <w:pStyle w:val="Heading1"/>
      </w:pPr>
      <w:r>
        <w:t>Methodology</w:t>
      </w:r>
    </w:p>
    <w:p>
      <w:r>
        <w:t>This assessment was conducted using AutoRed v1.0. Target: scanme.nmap.org. Profile: Production. Tools: Nmap, Subfinder, httpx, WhatWeb, ffuf.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