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6"/>
          <w:szCs w:val="56"/>
        </w:rPr>
        <w:t xml:space="preserve">Electricity Theft Detection</w:t>
      </w:r>
    </w:p>
    <w:p>
      <w:pPr>
        <w:spacing w:after="400"/>
      </w:pPr>
      <w:r>
        <w:rPr>
          <w:i/>
          <w:iCs/>
          <w:color w:val="666666"/>
          <w:sz w:val="26"/>
          <w:szCs w:val="26"/>
        </w:rPr>
        <w:t xml:space="preserve">What This Project Is, How It Actually Solves the Problem, and Who Does What</w:t>
      </w:r>
    </w:p>
    <w:p>
      <w:pPr>
        <w:pStyle w:val="Heading1"/>
        <w:spacing w:after="200" w:before="400"/>
      </w:pPr>
      <w:r>
        <w:t xml:space="preserve">1. What This Project Actually Is</w:t>
      </w:r>
    </w:p>
    <w:p>
      <w:pPr>
        <w:spacing w:after="160"/>
      </w:pPr>
      <w:r>
        <w:t xml:space="preserve">This is a fraud-detection system for electricity theft — not a generic "AI for good" demo. It looks at a customer's electricity usage history and flags accounts that are probably stealing power, using two different detectors for two different crimes:</w:t>
      </w:r>
    </w:p>
    <w:p>
      <w:pPr>
        <w:pStyle w:val="ListParagraph"/>
        <w:numPr>
          <w:ilvl w:val="0"/>
          <w:numId w:val="2"/>
        </w:numPr>
        <w:spacing w:after="90"/>
      </w:pPr>
      <w:r>
        <w:rPr>
          <w:b/>
          <w:bCs/>
        </w:rPr>
        <w:t xml:space="preserve">Residential theft: </w:t>
      </w:r>
      <w:r>
        <w:t xml:space="preserve">meter bypass or tampering. The signature is blunt — usage crashes to near-zero or drops in a sudden, sustained step. A 1D-CNN + BiLSTM classifier is trained to recognize that shape in the time series.</w:t>
      </w:r>
    </w:p>
    <w:p>
      <w:pPr>
        <w:pStyle w:val="ListParagraph"/>
        <w:numPr>
          <w:ilvl w:val="0"/>
          <w:numId w:val="2"/>
        </w:numPr>
        <w:spacing w:after="90"/>
      </w:pPr>
      <w:r>
        <w:rPr>
          <w:b/>
          <w:bCs/>
        </w:rPr>
        <w:t xml:space="preserve">Industrial theft: </w:t>
      </w:r>
      <w:r>
        <w:t xml:space="preserve">CT/PT (current/potential transformer) tampering and peak-shaving. This is subtler — consumption doesn't vanish, it gets quietly shaved or misreported. Because confirmed industrial fraud cases are rare, this is framed as an anomaly-detection problem using an Autoencoder instead of a classifier: it learns what "normal" industrial usage looks like and flags anything that reconstructs badly.</w:t>
      </w:r>
    </w:p>
    <w:p>
      <w:pPr>
        <w:spacing w:after="160"/>
      </w:pPr>
      <w:r>
        <w:t xml:space="preserve">Both detectors sit behind a shared "Channel Boosting" feature layer — a small set of auxiliary networks that pre-process the raw usage series into richer features before either detector sees it. That shared layer is the piece that makes transfer learning possible later (Section 3).</w:t>
      </w:r>
    </w:p>
    <w:p>
      <w:pPr>
        <w:spacing w:after="160"/>
      </w:pPr>
      <w:r>
        <w:t xml:space="preserve">The system was originally designed to train on the SGCC dataset — over 42,000 Chinese utility accounts, 1,035 days of daily usage readings, publicly available and already labeled fraud / not-fraud. That's the only dataset in the world of this kind that's both large and labeled, which is exactly why it's the default starting point and exactly why it's not automatically the right dataset for a Pakistani DISCO.</w:t>
      </w:r>
    </w:p>
    <w:p>
      <w:pPr>
        <w:pStyle w:val="Heading1"/>
        <w:spacing w:after="200" w:before="400"/>
      </w:pPr>
      <w:r>
        <w:t xml:space="preserve">2. The Problem It's Actually Solving</w:t>
      </w:r>
    </w:p>
    <w:p>
      <w:pPr>
        <w:spacing w:after="160"/>
      </w:pPr>
      <w:r>
        <w:t xml:space="preserve">Non-technical losses (theft, tampering, billing fraud) are a real line item for power distribution companies — DISCOs lose meaningful revenue to it every year. The standard human response is spot-inspections, which are slow, expensive, and largely random: an inspector can only check a tiny fraction of accounts, and they're checking blind. The pitch here is to replace "random inspection" with "ranked suspicion" — score every account, send inspectors to the top of the list instead of a random sample.</w:t>
      </w:r>
    </w:p>
    <w:p>
      <w:pPr>
        <w:pBdr>
          <w:left w:val="single" w:color="B00020" w:sz="18" w:space="8"/>
        </w:pBdr>
        <w:spacing w:after="160" w:before="100"/>
      </w:pPr>
      <w:r>
        <w:rPr>
          <w:b/>
          <w:bCs/>
          <w:color w:val="B00020"/>
        </w:rPr>
        <w:t xml:space="preserve">Reality check: </w:t>
      </w:r>
      <w:r>
        <w:rPr>
          <w:color w:val="1A1A1A"/>
        </w:rPr>
        <w:t xml:space="preserve">A model is worthless to a DISCO if it just says "theft / not theft." Field teams need a ranked, explainable shortlist they can act on, and false positives have a real cost (annoyed, possibly litigious customers). If the project stops at "we got 92% AUC on SGCC" without a verification/coordination layer that turns scores into an actionable shortlist, it hasn't solved the DISCO's actual problem — it's solved a Kaggle problem.</w:t>
      </w:r>
    </w:p>
    <w:p>
      <w:pPr>
        <w:pStyle w:val="Heading1"/>
        <w:spacing w:after="200" w:before="400"/>
      </w:pPr>
      <w:r>
        <w:t xml:space="preserve">3. The Core Approach: Transfer Learning, Explained Plainly</w:t>
      </w:r>
    </w:p>
    <w:p>
      <w:pPr>
        <w:spacing w:after="160"/>
      </w:pPr>
      <w:r>
        <w:t xml:space="preserve">The elephant in the room: SGCC is Chinese consumption data. A Pakistani DISCO's customers don't use electricity the same way — different appliances, different tariff structures, different climate-driven load curves, different theft methods. A model trained purely on SGCC and pointed at Pakistani meters without adjustment will underperform, possibly badly. Training purely on Pakistani data isn't an option either — Pakistan doesn't have anywhere near 42,000 labeled, confirmed theft cases.</w:t>
      </w:r>
    </w:p>
    <w:p>
      <w:pPr>
        <w:spacing w:after="160"/>
      </w:pPr>
      <w:r>
        <w:t xml:space="preserve">The fix is transfer learning / domain adaptation, and it's not a novel idea — it's an established technique in exactly this research area (non-technical-loss detection). The mechanics:</w:t>
      </w:r>
    </w:p>
    <w:p>
      <w:pPr>
        <w:pStyle w:val="ListParagraph"/>
        <w:numPr>
          <w:ilvl w:val="0"/>
          <w:numId w:val="2"/>
        </w:numPr>
        <w:spacing w:after="90"/>
      </w:pPr>
      <w:r>
        <w:rPr>
          <w:b/>
          <w:bCs/>
        </w:rPr>
        <w:t xml:space="preserve">Source domain: </w:t>
      </w:r>
      <w:r>
        <w:t xml:space="preserve">SGCC (~20,000+ labeled samples is the typical scale used in the literature for this exact setup). Pretrain the full pipeline here — Channel Boosting layers plus both detector heads.</w:t>
      </w:r>
    </w:p>
    <w:p>
      <w:pPr>
        <w:pStyle w:val="ListParagraph"/>
        <w:numPr>
          <w:ilvl w:val="0"/>
          <w:numId w:val="2"/>
        </w:numPr>
        <w:spacing w:after="90"/>
      </w:pPr>
      <w:r>
        <w:rPr>
          <w:b/>
          <w:bCs/>
        </w:rPr>
        <w:t xml:space="preserve">Target domain: </w:t>
      </w:r>
      <w:r>
        <w:t xml:space="preserve">Pakistan — deliberately small. Published transfer-learning work in this space fine-tunes on target sets as small as 500–1,000 labeled samples, because the whole premise of the technique is coping with a data-starved new market.</w:t>
      </w:r>
    </w:p>
    <w:p>
      <w:pPr>
        <w:pStyle w:val="ListParagraph"/>
        <w:numPr>
          <w:ilvl w:val="0"/>
          <w:numId w:val="2"/>
        </w:numPr>
        <w:spacing w:after="90"/>
      </w:pPr>
      <w:r>
        <w:rPr>
          <w:b/>
          <w:bCs/>
        </w:rPr>
        <w:t xml:space="preserve">What transfers: </w:t>
      </w:r>
      <w:r>
        <w:t xml:space="preserve">Freeze the Channel-Boosting layers and the early convolutional/pooling layers after SGCC pretraining — they're learning generic "what does a consumption time series look like" structure, not China-specific patterns. Add new trainable dense layers on top and fine-tune only those (plus optionally unfreezing the last block) on the Pakistani target set.</w:t>
      </w:r>
    </w:p>
    <w:p>
      <w:pPr>
        <w:spacing w:after="160"/>
      </w:pPr>
      <w:r>
        <w:t xml:space="preserve">Where to get the Pakistani target-domain labels, concretely: FIR-confirmed theft cases from a DISCO, plus DSU (Distribution Safety Unit) high-loss-feeder findings from a pilot area. This is not a data source that appears automatically — it requires someone physically requesting records from a DISCO or a contact with access to one.</w:t>
      </w:r>
    </w:p>
    <w:p>
      <w:pPr>
        <w:pStyle w:val="Heading2"/>
        <w:spacing w:after="150" w:before="300"/>
      </w:pPr>
      <w:r>
        <w:t xml:space="preserve">Honest caveats — don't oversell this</w:t>
      </w:r>
    </w:p>
    <w:p>
      <w:pPr>
        <w:pBdr>
          <w:left w:val="single" w:color="B00020" w:sz="18" w:space="8"/>
        </w:pBdr>
        <w:spacing w:after="160" w:before="100"/>
      </w:pPr>
      <w:r>
        <w:rPr>
          <w:b/>
          <w:bCs/>
          <w:color w:val="B00020"/>
        </w:rPr>
        <w:t xml:space="preserve">Reality check: </w:t>
      </w:r>
      <w:r>
        <w:rPr>
          <w:color w:val="1A1A1A"/>
        </w:rPr>
        <w:t xml:space="preserve">The published SGCC-split "source vs. target" experiments in these papers are a weaker test than what this project needs — splitting one dataset into two synthetic domains understates real-world domain shift, which is exactly why the same researchers moved to testing across genuinely different cities. China-to-Pakistan is a much bigger jump than city-to-city-within-China. Expect a real accuracy drop after fine-tuning, and do not present SGCC's ~92% ROC-AUC as the expected number for the Pakistani deployment — that number belongs to SGCC, not to this project's actual target market.</w:t>
      </w:r>
    </w:p>
    <w:p>
      <w:pPr>
        <w:pBdr>
          <w:left w:val="single" w:color="B00020" w:sz="18" w:space="8"/>
        </w:pBdr>
        <w:spacing w:after="160" w:before="100"/>
      </w:pPr>
      <w:r>
        <w:rPr>
          <w:b/>
          <w:bCs/>
          <w:color w:val="B00020"/>
        </w:rPr>
        <w:t xml:space="preserve">Reality check: </w:t>
      </w:r>
      <w:r>
        <w:rPr>
          <w:color w:val="1A1A1A"/>
        </w:rPr>
        <w:t xml:space="preserve">Fifty confirmed cases is not enough to fine-tune on and will not produce a defensible result. If the team can't realistically get into the low hundreds of confirmed Pakistani cases before the deadline, the honest move is to present the SGCC-only model as the baseline and the transfer step as "designed and implemented, pending target-domain data" — not as a finished, validated result. Claiming a validated transfer-learning result on data that doesn't exist yet is the fastest way to get torn apart in a Q&amp;A.</w:t>
      </w:r>
    </w:p>
    <w:p>
      <w:pPr>
        <w:pStyle w:val="Heading1"/>
        <w:spacing w:after="200" w:before="400"/>
      </w:pPr>
      <w:r>
        <w:t xml:space="preserve">4. Full System Breakdown — Every Moving Part</w:t>
      </w:r>
    </w:p>
    <w:p>
      <w:pPr>
        <w:pStyle w:val="Heading2"/>
        <w:spacing w:after="150" w:before="300"/>
      </w:pPr>
      <w:r>
        <w:t xml:space="preserve">4.1 Data</w:t>
      </w:r>
    </w:p>
    <w:p>
      <w:pPr>
        <w:pStyle w:val="ListParagraph"/>
        <w:numPr>
          <w:ilvl w:val="0"/>
          <w:numId w:val="2"/>
        </w:numPr>
        <w:spacing w:after="90"/>
      </w:pPr>
      <w:r>
        <w:t xml:space="preserve">Source: SGCC dataset (data.zip + split archives from github.com/henryRDlab/ElectricityTheftDetection), ~42K accounts × 1,035 daily readings, binary theft label.</w:t>
      </w:r>
    </w:p>
    <w:p>
      <w:pPr>
        <w:pStyle w:val="ListParagraph"/>
        <w:numPr>
          <w:ilvl w:val="0"/>
          <w:numId w:val="2"/>
        </w:numPr>
        <w:spacing w:after="90"/>
      </w:pPr>
      <w:r>
        <w:t xml:space="preserve">Target: Pakistani DISCO data — FIR-confirmed theft records + DSU high-loss-feeder flags from a pilot area. Has to be manually requested/collected; nothing here is a public download.</w:t>
      </w:r>
    </w:p>
    <w:p>
      <w:pPr>
        <w:pStyle w:val="ListParagraph"/>
        <w:numPr>
          <w:ilvl w:val="0"/>
          <w:numId w:val="2"/>
        </w:numPr>
        <w:spacing w:after="90"/>
      </w:pPr>
      <w:r>
        <w:t xml:space="preserve">Preprocessing rules: missing-value handling, outlier capping (fixed a real bug here — the capping function misbehaved on tiny arrays), and a hard rule that only the training split gets class-balanced. Validation/test splits must stay at real-world class imbalance, or the reported metrics are fiction.</w:t>
      </w:r>
    </w:p>
    <w:p>
      <w:pPr>
        <w:pStyle w:val="Heading2"/>
        <w:spacing w:after="150" w:before="300"/>
      </w:pPr>
      <w:r>
        <w:t xml:space="preserve">4.2 Modeling</w:t>
      </w:r>
    </w:p>
    <w:p>
      <w:pPr>
        <w:pStyle w:val="ListParagraph"/>
        <w:numPr>
          <w:ilvl w:val="0"/>
          <w:numId w:val="2"/>
        </w:numPr>
        <w:spacing w:after="90"/>
      </w:pPr>
      <w:r>
        <w:t xml:space="preserve">Channel Boosting layer: shared auxiliary feature extractor feeding both detector heads. This is the layer that gets frozen and reused during transfer.</w:t>
      </w:r>
    </w:p>
    <w:p>
      <w:pPr>
        <w:pStyle w:val="ListParagraph"/>
        <w:numPr>
          <w:ilvl w:val="0"/>
          <w:numId w:val="2"/>
        </w:numPr>
        <w:spacing w:after="90"/>
      </w:pPr>
      <w:r>
        <w:t xml:space="preserve">Residential agent: 1D-CNN + BiLSTM classifier, supervised, trained on labeled theft/normal residential accounts.</w:t>
      </w:r>
    </w:p>
    <w:p>
      <w:pPr>
        <w:pStyle w:val="ListParagraph"/>
        <w:numPr>
          <w:ilvl w:val="0"/>
          <w:numId w:val="2"/>
        </w:numPr>
        <w:spacing w:after="90"/>
      </w:pPr>
      <w:r>
        <w:t xml:space="preserve">Industrial agent: Autoencoder, trained on normal industrial usage only; flags high reconstruction error as anomalous. Chosen specifically because labeled industrial fraud is scarce.</w:t>
      </w:r>
    </w:p>
    <w:p>
      <w:pPr>
        <w:pStyle w:val="ListParagraph"/>
        <w:numPr>
          <w:ilvl w:val="0"/>
          <w:numId w:val="2"/>
        </w:numPr>
        <w:spacing w:after="90"/>
      </w:pPr>
      <w:r>
        <w:t xml:space="preserve">Verification agent: applies business rules on top of raw model scores before anything becomes a customer-facing alert (e.g. minimum confidence threshold, minimum sustained duration) — this is what keeps false positives from directly triggering field visits.</w:t>
      </w:r>
    </w:p>
    <w:p>
      <w:pPr>
        <w:pStyle w:val="ListParagraph"/>
        <w:numPr>
          <w:ilvl w:val="0"/>
          <w:numId w:val="2"/>
        </w:numPr>
        <w:spacing w:after="90"/>
      </w:pPr>
      <w:r>
        <w:t xml:space="preserve">Coordinator: merges residential + industrial + verification outputs into one final ranked list per feeder/region.</w:t>
      </w:r>
    </w:p>
    <w:p>
      <w:pPr>
        <w:pStyle w:val="Heading2"/>
        <w:spacing w:after="150" w:before="300"/>
      </w:pPr>
      <w:r>
        <w:t xml:space="preserve">4.3 Engineering / Deployment</w:t>
      </w:r>
    </w:p>
    <w:p>
      <w:pPr>
        <w:pStyle w:val="ListParagraph"/>
        <w:numPr>
          <w:ilvl w:val="0"/>
          <w:numId w:val="2"/>
        </w:numPr>
        <w:spacing w:after="90"/>
      </w:pPr>
      <w:r>
        <w:t xml:space="preserve">Cloud path (as designed): SLS (log ingestion) → MaxCompute (batch processing) → PAI-EAS (model serving) → Function Compute (alerting) on Alibaba Cloud.</w:t>
      </w:r>
    </w:p>
    <w:p>
      <w:pPr>
        <w:pStyle w:val="ListParagraph"/>
        <w:numPr>
          <w:ilvl w:val="0"/>
          <w:numId w:val="2"/>
        </w:numPr>
        <w:spacing w:after="90"/>
      </w:pPr>
      <w:r>
        <w:t xml:space="preserve">Local path (what actually exists in the repo right now): FastAPI service (src/api/app.py) serving the trained models, plus a Streamlit dashboard (dashboard/app.py) for manually testing a customer's numbers.</w:t>
      </w:r>
    </w:p>
    <w:p>
      <w:pPr>
        <w:pStyle w:val="ListParagraph"/>
        <w:numPr>
          <w:ilvl w:val="0"/>
          <w:numId w:val="2"/>
        </w:numPr>
        <w:spacing w:after="90"/>
      </w:pPr>
      <w:r>
        <w:t xml:space="preserve">Code generation: the repo's code was generated from a single markdown spec via Alibaba's Qoder agentic coding tool, not hand-written line by line — worth knowing when someone asks "who wrote this."</w:t>
      </w:r>
    </w:p>
    <w:p>
      <w:pPr>
        <w:pStyle w:val="ListParagraph"/>
        <w:numPr>
          <w:ilvl w:val="0"/>
          <w:numId w:val="2"/>
        </w:numPr>
        <w:spacing w:after="90"/>
      </w:pPr>
      <w:r>
        <w:t xml:space="preserve">Test suite: pytest tests/ — automated checks that the logic (not the trained accuracy) is correct. A failing test blocks moving forward; it's not optional to ignore.</w:t>
      </w:r>
    </w:p>
    <w:p>
      <w:pPr>
        <w:pStyle w:val="Heading2"/>
        <w:spacing w:after="150" w:before="300"/>
      </w:pPr>
      <w:r>
        <w:t xml:space="preserve">4.4 What's proven vs. what's still a plan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100"/>
            </w:pPr>
            <w:r>
              <w:rPr>
                <w:b/>
                <w:bCs/>
                <w:color w:val="1F4E79"/>
              </w:rPr>
              <w:t xml:space="preserve">Status, plainly stated</w:t>
            </w:r>
          </w:p>
          <w:p>
            <w:pPr>
              <w:spacing w:after="60"/>
            </w:pPr>
            <w:r>
              <w:t xml:space="preserve">• Proven: the code runs end-to-end on synthetic random data without crashing. One real bug was found and fixed in that process.</w:t>
            </w:r>
          </w:p>
          <w:p>
            <w:pPr>
              <w:spacing w:after="60"/>
            </w:pPr>
            <w:r>
              <w:t xml:space="preserve">• Not yet proven: any accuracy number on real data. Nothing has been trained on real SGCC or real Pakistani data yet.</w:t>
            </w:r>
          </w:p>
          <w:p>
            <w:pPr>
              <w:spacing w:after="60"/>
            </w:pPr>
            <w:r>
              <w:t xml:space="preserve">• Not yet obtained: the Pakistani target-domain labeled dataset. This is the single biggest open risk to the whole transfer-learning story.</w:t>
            </w:r>
          </w:p>
        </w:tc>
      </w:tr>
    </w:tbl>
    <w:p>
      <w:pPr>
        <w:pStyle w:val="Heading1"/>
        <w:spacing w:after="200" w:before="400"/>
      </w:pPr>
      <w:r>
        <w:t xml:space="preserve">5. Task Split — Maheen, Eimaan, Hashwar</w:t>
      </w:r>
    </w:p>
    <w:p>
      <w:pPr>
        <w:spacing w:after="160"/>
      </w:pPr>
      <w:r>
        <w:t xml:space="preserve">Split by pipeline stage, not by seniority, so each person owns a complete, defensible piece they can speak to in a Q&amp;A rather than a scattering of small tasks nobody fully understands. This is a starting assignment based on what each stream requires, not a judgment of who's "better" — swap tasks between people if it doesn't match actual strengths/interests. Each stream is comparable in size and difficulty; none of the three is the token easy one.</w:t>
      </w:r>
    </w:p>
    <w:p>
      <w:pPr>
        <w:pStyle w:val="Heading2"/>
        <w:spacing w:after="150" w:before="300"/>
      </w:pPr>
      <w:r>
        <w:t xml:space="preserve">5.1 Maheen — Data &amp; Ground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shd w:fill="1F4E79" w:val="clear"/>
            <w:tcMar>
              <w:top w:type="dxa" w:w="100"/>
              <w:left w:type="dxa" w:w="150"/>
              <w:bottom w:type="dxa" w:w="100"/>
              <w:right w:type="dxa" w:w="150"/>
            </w:tcMar>
          </w:tcPr>
          <w:p>
            <w:r>
              <w:rPr>
                <w:b/>
                <w:bCs/>
                <w:color w:val="FFFFFF"/>
              </w:rPr>
              <w:t xml:space="preserve">Maheen — Data &amp; Ground Truth</w:t>
            </w:r>
          </w:p>
        </w:tc>
      </w:tr>
      <w:tr>
        <w:tc>
          <w:tcPr>
            <w:tcW w:type="pct" w:w="100%"/>
            <w:shd w:fill="FFFFFF" w:val="clear"/>
            <w:tcMar>
              <w:top w:type="dxa" w:w="90"/>
              <w:left w:type="dxa" w:w="150"/>
              <w:bottom w:type="dxa" w:w="90"/>
              <w:right w:type="dxa" w:w="150"/>
            </w:tcMar>
          </w:tcPr>
          <w:p>
            <w:r>
              <w:t xml:space="preserve">• Download and verify SGCC dataset (data.zip + z01/z02 parts), confirm sgcc_data.csv is complete and correctly labeled.</w:t>
            </w:r>
          </w:p>
        </w:tc>
      </w:tr>
      <w:tr>
        <w:tc>
          <w:tcPr>
            <w:tcW w:type="pct" w:w="100%"/>
            <w:shd w:fill="F7F7F7" w:val="clear"/>
            <w:tcMar>
              <w:top w:type="dxa" w:w="90"/>
              <w:left w:type="dxa" w:w="150"/>
              <w:bottom w:type="dxa" w:w="90"/>
              <w:right w:type="dxa" w:w="150"/>
            </w:tcMar>
          </w:tcPr>
          <w:p>
            <w:r>
              <w:t xml:space="preserve">• Run and sanity-check src/preprocessing/preprocess.py — confirm training split is balanced and validation/test splits are NOT artificially balanced.</w:t>
            </w:r>
          </w:p>
        </w:tc>
      </w:tr>
      <w:tr>
        <w:tc>
          <w:tcPr>
            <w:tcW w:type="pct" w:w="100%"/>
            <w:shd w:fill="FFFFFF" w:val="clear"/>
            <w:tcMar>
              <w:top w:type="dxa" w:w="90"/>
              <w:left w:type="dxa" w:w="150"/>
              <w:bottom w:type="dxa" w:w="90"/>
              <w:right w:type="dxa" w:w="150"/>
            </w:tcMar>
          </w:tcPr>
          <w:p>
            <w:r>
              <w:t xml:space="preserve">• Lead the Pakistani target-domain data hunt: identify a DISCO contact, request FIR-confirmed theft records and DSU high-loss-feeder findings from a pilot area.</w:t>
            </w:r>
          </w:p>
        </w:tc>
      </w:tr>
      <w:tr>
        <w:tc>
          <w:tcPr>
            <w:tcW w:type="pct" w:w="100%"/>
            <w:shd w:fill="F7F7F7" w:val="clear"/>
            <w:tcMar>
              <w:top w:type="dxa" w:w="90"/>
              <w:left w:type="dxa" w:w="150"/>
              <w:bottom w:type="dxa" w:w="90"/>
              <w:right w:type="dxa" w:w="150"/>
            </w:tcMar>
          </w:tcPr>
          <w:p>
            <w:r>
              <w:t xml:space="preserve">• Design the labeling scheme that maps whatever raw Pakistani records look like onto the same binary theft/normal label SGCC uses, so the two datasets are actually compatible.</w:t>
            </w:r>
          </w:p>
        </w:tc>
      </w:tr>
      <w:tr>
        <w:tc>
          <w:tcPr>
            <w:tcW w:type="pct" w:w="100%"/>
            <w:shd w:fill="FFFFFF" w:val="clear"/>
            <w:tcMar>
              <w:top w:type="dxa" w:w="90"/>
              <w:left w:type="dxa" w:w="150"/>
              <w:bottom w:type="dxa" w:w="90"/>
              <w:right w:type="dxa" w:w="150"/>
            </w:tcMar>
          </w:tcPr>
          <w:p>
            <w:r>
              <w:t xml:space="preserve">• Own the honesty checklist item on data: document exactly how many confirmed Pakistani cases were obtained, and flag clearly if that number is too small to trust (per the caveats in Section 3).</w:t>
            </w:r>
          </w:p>
        </w:tc>
      </w:tr>
    </w:tbl>
    <w:p>
      <w:pPr>
        <w:spacing w:after="160"/>
      </w:pPr>
      <w:r>
        <w:t xml:space="preserve"/>
      </w:r>
    </w:p>
    <w:p>
      <w:pPr>
        <w:pStyle w:val="Heading2"/>
        <w:spacing w:after="150" w:before="300"/>
      </w:pPr>
      <w:r>
        <w:t xml:space="preserve">5.2 Hashwar — Modeling &amp; Transfer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shd w:fill="1F4E79" w:val="clear"/>
            <w:tcMar>
              <w:top w:type="dxa" w:w="100"/>
              <w:left w:type="dxa" w:w="150"/>
              <w:bottom w:type="dxa" w:w="100"/>
              <w:right w:type="dxa" w:w="150"/>
            </w:tcMar>
          </w:tcPr>
          <w:p>
            <w:r>
              <w:rPr>
                <w:b/>
                <w:bCs/>
                <w:color w:val="FFFFFF"/>
              </w:rPr>
              <w:t xml:space="preserve">Hashwar — Modeling &amp; Transfer Learning</w:t>
            </w:r>
          </w:p>
        </w:tc>
      </w:tr>
      <w:tr>
        <w:tc>
          <w:tcPr>
            <w:tcW w:type="pct" w:w="100%"/>
            <w:shd w:fill="FFFFFF" w:val="clear"/>
            <w:tcMar>
              <w:top w:type="dxa" w:w="90"/>
              <w:left w:type="dxa" w:w="150"/>
              <w:bottom w:type="dxa" w:w="90"/>
              <w:right w:type="dxa" w:w="150"/>
            </w:tcMar>
          </w:tcPr>
          <w:p>
            <w:r>
              <w:t xml:space="preserve">• Implement/train the Channel Boosting layer and both detector heads on SGCC (source domain pretraining).</w:t>
            </w:r>
          </w:p>
        </w:tc>
      </w:tr>
      <w:tr>
        <w:tc>
          <w:tcPr>
            <w:tcW w:type="pct" w:w="100%"/>
            <w:shd w:fill="F7F7F7" w:val="clear"/>
            <w:tcMar>
              <w:top w:type="dxa" w:w="90"/>
              <w:left w:type="dxa" w:w="150"/>
              <w:bottom w:type="dxa" w:w="90"/>
              <w:right w:type="dxa" w:w="150"/>
            </w:tcMar>
          </w:tcPr>
          <w:p>
            <w:r>
              <w:t xml:space="preserve">• Train and validate the residential 1D-CNN+BiLSTM classifier; record real ROC-AUC/F1 on the SGCC validation split.</w:t>
            </w:r>
          </w:p>
        </w:tc>
      </w:tr>
      <w:tr>
        <w:tc>
          <w:tcPr>
            <w:tcW w:type="pct" w:w="100%"/>
            <w:shd w:fill="FFFFFF" w:val="clear"/>
            <w:tcMar>
              <w:top w:type="dxa" w:w="90"/>
              <w:left w:type="dxa" w:w="150"/>
              <w:bottom w:type="dxa" w:w="90"/>
              <w:right w:type="dxa" w:w="150"/>
            </w:tcMar>
          </w:tcPr>
          <w:p>
            <w:r>
              <w:t xml:space="preserve">• Train the industrial Autoencoder and report how many industrial-type accounts actually exist in the data before drawing conclusions from it.</w:t>
            </w:r>
          </w:p>
        </w:tc>
      </w:tr>
      <w:tr>
        <w:tc>
          <w:tcPr>
            <w:tcW w:type="pct" w:w="100%"/>
            <w:shd w:fill="F7F7F7" w:val="clear"/>
            <w:tcMar>
              <w:top w:type="dxa" w:w="90"/>
              <w:left w:type="dxa" w:w="150"/>
              <w:bottom w:type="dxa" w:w="90"/>
              <w:right w:type="dxa" w:w="150"/>
            </w:tcMar>
          </w:tcPr>
          <w:p>
            <w:r>
              <w:t xml:space="preserve">• Implement the transfer step: freeze Channel Boosting + early layers, add and fine-tune new dense layers on the Pakistani target set once Maheen delivers it.</w:t>
            </w:r>
          </w:p>
        </w:tc>
      </w:tr>
      <w:tr>
        <w:tc>
          <w:tcPr>
            <w:tcW w:type="pct" w:w="100%"/>
            <w:shd w:fill="FFFFFF" w:val="clear"/>
            <w:tcMar>
              <w:top w:type="dxa" w:w="90"/>
              <w:left w:type="dxa" w:w="150"/>
              <w:bottom w:type="dxa" w:w="90"/>
              <w:right w:type="dxa" w:w="150"/>
            </w:tcMar>
          </w:tcPr>
          <w:p>
            <w:r>
              <w:t xml:space="preserve">• Run and report the benchmark comparison honestly: SGCC-only baseline vs. fine-tuned-on-Pakistan, including the expected accuracy dip — do not report only the best number.</w:t>
            </w:r>
          </w:p>
        </w:tc>
      </w:tr>
    </w:tbl>
    <w:p>
      <w:pPr>
        <w:spacing w:after="160"/>
      </w:pPr>
      <w:r>
        <w:t xml:space="preserve"/>
      </w:r>
    </w:p>
    <w:p>
      <w:pPr>
        <w:pStyle w:val="Heading2"/>
        <w:spacing w:after="150" w:before="300"/>
      </w:pPr>
      <w:r>
        <w:t xml:space="preserve">5.3 Eimaan — Systems, Verification &amp;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shd w:fill="1F4E79" w:val="clear"/>
            <w:tcMar>
              <w:top w:type="dxa" w:w="100"/>
              <w:left w:type="dxa" w:w="150"/>
              <w:bottom w:type="dxa" w:w="100"/>
              <w:right w:type="dxa" w:w="150"/>
            </w:tcMar>
          </w:tcPr>
          <w:p>
            <w:r>
              <w:rPr>
                <w:b/>
                <w:bCs/>
                <w:color w:val="FFFFFF"/>
              </w:rPr>
              <w:t xml:space="preserve">Eimaan — Systems, Verification &amp; Evaluation</w:t>
            </w:r>
          </w:p>
        </w:tc>
      </w:tr>
      <w:tr>
        <w:tc>
          <w:tcPr>
            <w:tcW w:type="pct" w:w="100%"/>
            <w:shd w:fill="FFFFFF" w:val="clear"/>
            <w:tcMar>
              <w:top w:type="dxa" w:w="90"/>
              <w:left w:type="dxa" w:w="150"/>
              <w:bottom w:type="dxa" w:w="90"/>
              <w:right w:type="dxa" w:w="150"/>
            </w:tcMar>
          </w:tcPr>
          <w:p>
            <w:r>
              <w:t xml:space="preserve">• Build out the verification agent's business rules (confidence thresholds, sustained-duration checks) so raw model scores turn into a defensible, low-false-positive shortlist.</w:t>
            </w:r>
          </w:p>
        </w:tc>
      </w:tr>
      <w:tr>
        <w:tc>
          <w:tcPr>
            <w:tcW w:type="pct" w:w="100%"/>
            <w:shd w:fill="F7F7F7" w:val="clear"/>
            <w:tcMar>
              <w:top w:type="dxa" w:w="90"/>
              <w:left w:type="dxa" w:w="150"/>
              <w:bottom w:type="dxa" w:w="90"/>
              <w:right w:type="dxa" w:w="150"/>
            </w:tcMar>
          </w:tcPr>
          <w:p>
            <w:r>
              <w:t xml:space="preserve">• Implement the coordinator logic that merges residential + industrial + verification outputs into one ranked feeder/region list.</w:t>
            </w:r>
          </w:p>
        </w:tc>
      </w:tr>
      <w:tr>
        <w:tc>
          <w:tcPr>
            <w:tcW w:type="pct" w:w="100%"/>
            <w:shd w:fill="FFFFFF" w:val="clear"/>
            <w:tcMar>
              <w:top w:type="dxa" w:w="90"/>
              <w:left w:type="dxa" w:w="150"/>
              <w:bottom w:type="dxa" w:w="90"/>
              <w:right w:type="dxa" w:w="150"/>
            </w:tcMar>
          </w:tcPr>
          <w:p>
            <w:r>
              <w:t xml:space="preserve">• Wire up and test the FastAPI service and Streamlit dashboard end-to-end against the trained models.</w:t>
            </w:r>
          </w:p>
        </w:tc>
      </w:tr>
      <w:tr>
        <w:tc>
          <w:tcPr>
            <w:tcW w:type="pct" w:w="100%"/>
            <w:shd w:fill="F7F7F7" w:val="clear"/>
            <w:tcMar>
              <w:top w:type="dxa" w:w="90"/>
              <w:left w:type="dxa" w:w="150"/>
              <w:bottom w:type="dxa" w:w="90"/>
              <w:right w:type="dxa" w:w="150"/>
            </w:tcMar>
          </w:tcPr>
          <w:p>
            <w:r>
              <w:t xml:space="preserve">• Own and run pytest tests/ continuously — nobody moves past a failing test; track and report the pass/fail state to the team.</w:t>
            </w:r>
          </w:p>
        </w:tc>
      </w:tr>
      <w:tr>
        <w:tc>
          <w:tcPr>
            <w:tcW w:type="pct" w:w="100%"/>
            <w:shd w:fill="FFFFFF" w:val="clear"/>
            <w:tcMar>
              <w:top w:type="dxa" w:w="90"/>
              <w:left w:type="dxa" w:w="150"/>
              <w:bottom w:type="dxa" w:w="90"/>
              <w:right w:type="dxa" w:w="150"/>
            </w:tcMar>
          </w:tcPr>
          <w:p>
            <w:r>
              <w:t xml:space="preserve">• Compile the final report/pitch: benchmark table, the honesty checklist across all three streams, and the plain-language "what this is and why it works" narrative for a non-technical judge.</w:t>
            </w:r>
          </w:p>
        </w:tc>
      </w:tr>
    </w:tbl>
    <w:p>
      <w:pPr>
        <w:pStyle w:val="Heading1"/>
        <w:spacing w:after="200" w:before="400"/>
      </w:pPr>
      <w:r>
        <w:t xml:space="preserve">6. What "Done" Actually Looks Like</w:t>
      </w:r>
    </w:p>
    <w:p>
      <w:pPr>
        <w:pStyle w:val="ListParagraph"/>
        <w:numPr>
          <w:ilvl w:val="0"/>
          <w:numId w:val="2"/>
        </w:numPr>
        <w:spacing w:after="90"/>
      </w:pPr>
      <w:r>
        <w:t xml:space="preserve">A real, reported ROC-AUC/F1 number on SGCC — not a number copied from a paper.</w:t>
      </w:r>
    </w:p>
    <w:p>
      <w:pPr>
        <w:pStyle w:val="ListParagraph"/>
        <w:numPr>
          <w:ilvl w:val="0"/>
          <w:numId w:val="2"/>
        </w:numPr>
        <w:spacing w:after="90"/>
      </w:pPr>
      <w:r>
        <w:t xml:space="preserve">A documented Pakistani target dataset with an honest headcount, even if small.</w:t>
      </w:r>
    </w:p>
    <w:p>
      <w:pPr>
        <w:pStyle w:val="ListParagraph"/>
        <w:numPr>
          <w:ilvl w:val="0"/>
          <w:numId w:val="2"/>
        </w:numPr>
        <w:spacing w:after="90"/>
      </w:pPr>
      <w:r>
        <w:t xml:space="preserve">A transfer-learning result that's labeled clearly as either "validated on real target data" or "implemented, pending data" — never presented as more finished than it is.</w:t>
      </w:r>
    </w:p>
    <w:p>
      <w:pPr>
        <w:pStyle w:val="ListParagraph"/>
        <w:numPr>
          <w:ilvl w:val="0"/>
          <w:numId w:val="2"/>
        </w:numPr>
        <w:spacing w:after="90"/>
      </w:pPr>
      <w:r>
        <w:t xml:space="preserve">A working end-to-end demo (API + dashboard) that a judge can actually poke at, not just slides.</w:t>
      </w:r>
    </w:p>
    <w:p>
      <w:pPr>
        <w:pStyle w:val="ListParagraph"/>
        <w:numPr>
          <w:ilvl w:val="0"/>
          <w:numId w:val="2"/>
        </w:numPr>
        <w:spacing w:after="90"/>
      </w:pPr>
      <w:r>
        <w:t xml:space="preserve">All pytest tests passing before the pitch, not "mostly passing."</w:t>
      </w:r>
    </w:p>
    <w:p>
      <w:pPr>
        <w:pBdr>
          <w:top w:val="single" w:color="CCCCCC" w:sz="6" w:space="8"/>
        </w:pBdr>
        <w:spacing w:before="400"/>
      </w:pPr>
      <w:r>
        <w:rPr>
          <w:i/>
          <w:iCs/>
          <w:color w:val="666666"/>
        </w:rPr>
        <w:t xml:space="preserve">Bottom line: the architecture is sound and the transfer-learning idea is a legitimate, literature-backed answer to "we don't have Pakistani data." The thing that will actually make or break this project isn't the code — it's whether Maheen's data stream delivers real target-domain labels in time. Everything else is executable with what's already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2026-08-26T10:05:17.459Z</dcterms:created>
  <dcterms:modified xsi:type="dcterms:W3CDTF">2026-08-26T10:05:17.472Z</dcterms:modified>
</cp:coreProperties>
</file>

<file path=docProps/custom.xml><?xml version="1.0" encoding="utf-8"?>
<Properties xmlns="http://schemas.openxmlformats.org/officeDocument/2006/custom-properties" xmlns:vt="http://schemas.openxmlformats.org/officeDocument/2006/docPropsVTypes"/>
</file>