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33E2" w:rsidRDefault="00B133E2">
      <w:r>
        <w:t>Unified Cross-country Annual Time-series</w:t>
      </w:r>
      <w:r w:rsidRPr="00B133E2">
        <w:t xml:space="preserve"> of LCOE</w:t>
      </w:r>
      <w:r>
        <w:t xml:space="preserve"> by Renewable Technology and</w:t>
      </w:r>
      <w:r w:rsidRPr="00B133E2">
        <w:t xml:space="preserve"> Calculated Annual Average Day Ahead Electricity Price</w:t>
      </w:r>
      <w:r>
        <w:t xml:space="preserve"> Dataset</w:t>
      </w:r>
    </w:p>
    <w:p w:rsidR="00B133E2" w:rsidRDefault="00B133E2">
      <w:proofErr w:type="spellStart"/>
      <w:r>
        <w:t>Hasibul</w:t>
      </w:r>
      <w:proofErr w:type="spellEnd"/>
      <w:r>
        <w:t xml:space="preserve"> Hasan Ahmed</w:t>
      </w:r>
    </w:p>
    <w:p w:rsidR="00A856C3" w:rsidRPr="00A856C3" w:rsidRDefault="00A856C3">
      <w:pPr>
        <w:rPr>
          <w:b/>
          <w:bCs/>
        </w:rPr>
      </w:pPr>
      <w:r w:rsidRPr="00A856C3">
        <w:rPr>
          <w:b/>
          <w:bCs/>
        </w:rPr>
        <w:t xml:space="preserve">Introduction: </w:t>
      </w:r>
    </w:p>
    <w:p w:rsidR="00B133E2" w:rsidRDefault="00A856C3">
      <w:r w:rsidRPr="00A856C3">
        <w:t>The global energy landscape has undergone a profound transformation over the past two decades, driven by rapid technological advancements, declining renewable energy costs, and increasing policy commitments toward decarbonization. To support rigorous analysis of these trends, this dataset compiles a comprehensive, multi</w:t>
      </w:r>
      <w:r w:rsidRPr="00A856C3">
        <w:noBreakHyphen/>
        <w:t>technology, multi</w:t>
      </w:r>
      <w:r w:rsidRPr="00A856C3">
        <w:noBreakHyphen/>
        <w:t>country view of renewable energy costs and electricity market prices from 20</w:t>
      </w:r>
      <w:r>
        <w:t>10</w:t>
      </w:r>
      <w:r w:rsidRPr="00A856C3">
        <w:t xml:space="preserve"> to 2023. It integrates publicly available data from the International Renewable Energy Agency (IRENA) and the Global Day</w:t>
      </w:r>
      <w:r w:rsidRPr="00A856C3">
        <w:noBreakHyphen/>
        <w:t>Ahead Electricity Price Dataset hosted on Mendeley Data, creating a unified resource for comparative cost assessment, trend analysis, and energy</w:t>
      </w:r>
      <w:r w:rsidRPr="00A856C3">
        <w:noBreakHyphen/>
        <w:t>economic modeling.</w:t>
      </w:r>
      <w:r w:rsidR="00B133E2">
        <w:t xml:space="preserve"> </w:t>
      </w:r>
    </w:p>
    <w:p w:rsidR="00B133E2" w:rsidRPr="00A856C3" w:rsidRDefault="00A856C3">
      <w:pPr>
        <w:rPr>
          <w:u w:val="single"/>
        </w:rPr>
      </w:pPr>
      <w:r w:rsidRPr="00A856C3">
        <w:rPr>
          <w:u w:val="single"/>
        </w:rPr>
        <w:t>Renewable Energy LCOE Data (IRENA)</w:t>
      </w:r>
    </w:p>
    <w:p w:rsidR="00A856C3" w:rsidRDefault="00A856C3">
      <w:r w:rsidRPr="00A856C3">
        <w:t>The dataset includes Levelized Cost of Electricity (LCOE) values for major renewable technologies, extracted and harmonized from IRENA’s R</w:t>
      </w:r>
      <w:r>
        <w:t>enewable</w:t>
      </w:r>
      <w:r w:rsidRPr="00A856C3">
        <w:t xml:space="preserve"> P</w:t>
      </w:r>
      <w:r>
        <w:t>ower</w:t>
      </w:r>
      <w:r w:rsidRPr="00A856C3">
        <w:t xml:space="preserve"> G</w:t>
      </w:r>
      <w:r>
        <w:t>eneration</w:t>
      </w:r>
      <w:r w:rsidRPr="00A856C3">
        <w:t xml:space="preserve"> C</w:t>
      </w:r>
      <w:r>
        <w:t>osts</w:t>
      </w:r>
      <w:r w:rsidRPr="00A856C3">
        <w:t xml:space="preserve"> </w:t>
      </w:r>
      <w:r>
        <w:t>in</w:t>
      </w:r>
      <w:r w:rsidRPr="00A856C3">
        <w:t xml:space="preserve"> 2023</w:t>
      </w:r>
      <w:r>
        <w:t xml:space="preserve"> report </w:t>
      </w:r>
      <w:r w:rsidRPr="00A856C3">
        <w:t>and statistical databases. It covers both country</w:t>
      </w:r>
      <w:r w:rsidRPr="00A856C3">
        <w:noBreakHyphen/>
        <w:t>level and global weighted</w:t>
      </w:r>
      <w:r w:rsidRPr="00A856C3">
        <w:noBreakHyphen/>
        <w:t>average cost trajectories:</w:t>
      </w:r>
    </w:p>
    <w:p w:rsidR="00A856C3" w:rsidRPr="003122D1" w:rsidRDefault="00A856C3">
      <w:pPr>
        <w:rPr>
          <w:b/>
          <w:bCs/>
        </w:rPr>
      </w:pPr>
      <w:r w:rsidRPr="003122D1">
        <w:rPr>
          <w:b/>
          <w:bCs/>
        </w:rPr>
        <w:t>Country</w:t>
      </w:r>
      <w:r w:rsidRPr="003122D1">
        <w:rPr>
          <w:b/>
          <w:bCs/>
        </w:rPr>
        <w:noBreakHyphen/>
        <w:t>Level LCOE</w:t>
      </w:r>
    </w:p>
    <w:p w:rsidR="00A856C3" w:rsidRPr="003122D1" w:rsidRDefault="00A856C3">
      <w:pPr>
        <w:rPr>
          <w:b/>
          <w:bCs/>
        </w:rPr>
      </w:pPr>
      <w:r w:rsidRPr="003122D1">
        <w:rPr>
          <w:b/>
          <w:bCs/>
        </w:rPr>
        <w:t>Onshore Wind (2010–2023)</w:t>
      </w:r>
    </w:p>
    <w:p w:rsidR="00A856C3" w:rsidRDefault="00A856C3" w:rsidP="00A856C3">
      <w:r w:rsidRPr="00A856C3">
        <w:t xml:space="preserve">LCOE data for </w:t>
      </w:r>
      <w:r w:rsidRPr="00A856C3">
        <w:rPr>
          <w:b/>
          <w:bCs/>
        </w:rPr>
        <w:t>15 countries</w:t>
      </w:r>
      <w:r>
        <w:rPr>
          <w:b/>
          <w:bCs/>
        </w:rPr>
        <w:t xml:space="preserve"> </w:t>
      </w:r>
      <w:r>
        <w:t>(</w:t>
      </w:r>
      <w:r>
        <w:t>Australia</w:t>
      </w:r>
      <w:r>
        <w:t xml:space="preserve">, </w:t>
      </w:r>
      <w:r>
        <w:t>China</w:t>
      </w:r>
      <w:r>
        <w:t xml:space="preserve">, </w:t>
      </w:r>
      <w:r>
        <w:t>France</w:t>
      </w:r>
      <w:r>
        <w:t xml:space="preserve">, </w:t>
      </w:r>
      <w:r>
        <w:t>Germany</w:t>
      </w:r>
      <w:r>
        <w:t xml:space="preserve">, </w:t>
      </w:r>
      <w:r>
        <w:t>India</w:t>
      </w:r>
      <w:r>
        <w:t xml:space="preserve">, </w:t>
      </w:r>
      <w:r>
        <w:t>UK</w:t>
      </w:r>
      <w:r>
        <w:t xml:space="preserve">, </w:t>
      </w:r>
      <w:r>
        <w:t>US</w:t>
      </w:r>
      <w:r>
        <w:t xml:space="preserve">, </w:t>
      </w:r>
      <w:r>
        <w:t>Italy</w:t>
      </w:r>
      <w:r>
        <w:t xml:space="preserve">, </w:t>
      </w:r>
      <w:r>
        <w:t>Japan</w:t>
      </w:r>
      <w:r>
        <w:t xml:space="preserve">, South Korea, </w:t>
      </w:r>
      <w:r>
        <w:t>Spain</w:t>
      </w:r>
      <w:r>
        <w:t xml:space="preserve">, </w:t>
      </w:r>
      <w:r>
        <w:t>Mexico</w:t>
      </w:r>
      <w:r>
        <w:t xml:space="preserve">, </w:t>
      </w:r>
      <w:r>
        <w:t>Turkey</w:t>
      </w:r>
      <w:r>
        <w:t xml:space="preserve">, </w:t>
      </w:r>
      <w:r>
        <w:t>Chile</w:t>
      </w:r>
      <w:r>
        <w:t xml:space="preserve">, </w:t>
      </w:r>
      <w:r>
        <w:t>Netherlands</w:t>
      </w:r>
      <w:r>
        <w:t xml:space="preserve">), </w:t>
      </w:r>
      <w:r w:rsidRPr="00A856C3">
        <w:t>enabling cross</w:t>
      </w:r>
      <w:r w:rsidRPr="00A856C3">
        <w:noBreakHyphen/>
        <w:t>country comparison of cost evolution in one of the most mature renewable technologies.</w:t>
      </w:r>
    </w:p>
    <w:p w:rsidR="003122D1" w:rsidRPr="003122D1" w:rsidRDefault="003122D1" w:rsidP="00A856C3">
      <w:pPr>
        <w:rPr>
          <w:b/>
          <w:bCs/>
        </w:rPr>
      </w:pPr>
      <w:r w:rsidRPr="003122D1">
        <w:rPr>
          <w:b/>
          <w:bCs/>
        </w:rPr>
        <w:t>Utility</w:t>
      </w:r>
      <w:r w:rsidRPr="003122D1">
        <w:rPr>
          <w:rFonts w:ascii="Cambria Math" w:hAnsi="Cambria Math" w:cs="Cambria Math"/>
          <w:b/>
          <w:bCs/>
        </w:rPr>
        <w:t>‑</w:t>
      </w:r>
      <w:r w:rsidRPr="003122D1">
        <w:rPr>
          <w:b/>
          <w:bCs/>
        </w:rPr>
        <w:t>Scale Solar PV (2018</w:t>
      </w:r>
      <w:r w:rsidRPr="003122D1">
        <w:rPr>
          <w:rFonts w:ascii="Calibri" w:hAnsi="Calibri" w:cs="Calibri"/>
          <w:b/>
          <w:bCs/>
        </w:rPr>
        <w:t>–</w:t>
      </w:r>
      <w:r w:rsidRPr="003122D1">
        <w:rPr>
          <w:b/>
          <w:bCs/>
        </w:rPr>
        <w:t>2023)</w:t>
      </w:r>
    </w:p>
    <w:p w:rsidR="003122D1" w:rsidRDefault="003122D1" w:rsidP="00A856C3">
      <w:r w:rsidRPr="003122D1">
        <w:t xml:space="preserve">LCOE data for </w:t>
      </w:r>
      <w:r w:rsidRPr="003122D1">
        <w:rPr>
          <w:b/>
          <w:bCs/>
        </w:rPr>
        <w:t>13 countries</w:t>
      </w:r>
      <w:r>
        <w:rPr>
          <w:b/>
          <w:bCs/>
        </w:rPr>
        <w:t xml:space="preserve"> </w:t>
      </w:r>
      <w:r>
        <w:t>(Australia, China, France, Germany, India, UK, US, Italy, Japan, South Korea,</w:t>
      </w:r>
      <w:r>
        <w:t xml:space="preserve"> </w:t>
      </w:r>
      <w:r>
        <w:t>Mexico,</w:t>
      </w:r>
      <w:r>
        <w:t xml:space="preserve"> </w:t>
      </w:r>
      <w:r>
        <w:t>Chile, Netherlands)</w:t>
      </w:r>
      <w:r w:rsidRPr="003122D1">
        <w:t>, capturing the rapid cost decline and deployment acceleration of solar PV in recent years.</w:t>
      </w:r>
    </w:p>
    <w:p w:rsidR="003122D1" w:rsidRDefault="003122D1" w:rsidP="00A856C3">
      <w:r w:rsidRPr="003122D1">
        <w:t>Global Weighted</w:t>
      </w:r>
      <w:r w:rsidRPr="003122D1">
        <w:noBreakHyphen/>
        <w:t>Average LCOE</w:t>
      </w:r>
    </w:p>
    <w:p w:rsidR="003122D1" w:rsidRPr="003122D1" w:rsidRDefault="003122D1" w:rsidP="003122D1">
      <w:r w:rsidRPr="003122D1">
        <w:t>To contextualize country</w:t>
      </w:r>
      <w:r w:rsidRPr="003122D1">
        <w:noBreakHyphen/>
        <w:t>level trends, the dataset also includes global weighted</w:t>
      </w:r>
      <w:r w:rsidRPr="003122D1">
        <w:noBreakHyphen/>
        <w:t>average LCOE values for six renewable technologies:</w:t>
      </w:r>
    </w:p>
    <w:p w:rsidR="003122D1" w:rsidRPr="003122D1" w:rsidRDefault="003122D1" w:rsidP="003122D1">
      <w:pPr>
        <w:numPr>
          <w:ilvl w:val="0"/>
          <w:numId w:val="2"/>
        </w:numPr>
      </w:pPr>
      <w:r w:rsidRPr="003122D1">
        <w:rPr>
          <w:b/>
          <w:bCs/>
        </w:rPr>
        <w:t>Offshore Wind (20</w:t>
      </w:r>
      <w:r>
        <w:rPr>
          <w:b/>
          <w:bCs/>
        </w:rPr>
        <w:t>10</w:t>
      </w:r>
      <w:r w:rsidRPr="003122D1">
        <w:rPr>
          <w:b/>
          <w:bCs/>
        </w:rPr>
        <w:t>–2023)</w:t>
      </w:r>
    </w:p>
    <w:p w:rsidR="003122D1" w:rsidRPr="003122D1" w:rsidRDefault="003122D1" w:rsidP="003122D1">
      <w:pPr>
        <w:numPr>
          <w:ilvl w:val="0"/>
          <w:numId w:val="2"/>
        </w:numPr>
      </w:pPr>
      <w:r w:rsidRPr="003122D1">
        <w:rPr>
          <w:b/>
          <w:bCs/>
        </w:rPr>
        <w:t>Concentrated Solar Power (CSP) (2010–2023)</w:t>
      </w:r>
    </w:p>
    <w:p w:rsidR="003122D1" w:rsidRPr="003122D1" w:rsidRDefault="003122D1" w:rsidP="003122D1">
      <w:pPr>
        <w:numPr>
          <w:ilvl w:val="0"/>
          <w:numId w:val="2"/>
        </w:numPr>
      </w:pPr>
      <w:r w:rsidRPr="003122D1">
        <w:rPr>
          <w:b/>
          <w:bCs/>
        </w:rPr>
        <w:lastRenderedPageBreak/>
        <w:t>Hydropower (2010–2023)</w:t>
      </w:r>
    </w:p>
    <w:p w:rsidR="003122D1" w:rsidRPr="003122D1" w:rsidRDefault="003122D1" w:rsidP="003122D1">
      <w:pPr>
        <w:numPr>
          <w:ilvl w:val="0"/>
          <w:numId w:val="2"/>
        </w:numPr>
      </w:pPr>
      <w:r w:rsidRPr="003122D1">
        <w:rPr>
          <w:b/>
          <w:bCs/>
        </w:rPr>
        <w:t>Geothermal (2010–2023)</w:t>
      </w:r>
    </w:p>
    <w:p w:rsidR="003122D1" w:rsidRPr="003122D1" w:rsidRDefault="003122D1" w:rsidP="003122D1">
      <w:pPr>
        <w:numPr>
          <w:ilvl w:val="0"/>
          <w:numId w:val="2"/>
        </w:numPr>
      </w:pPr>
      <w:r w:rsidRPr="003122D1">
        <w:rPr>
          <w:b/>
          <w:bCs/>
        </w:rPr>
        <w:t>Bioenergy (2010–2023)</w:t>
      </w:r>
    </w:p>
    <w:p w:rsidR="003122D1" w:rsidRPr="003122D1" w:rsidRDefault="003122D1" w:rsidP="003122D1">
      <w:r w:rsidRPr="003122D1">
        <w:t>These global series provide long</w:t>
      </w:r>
      <w:r w:rsidRPr="003122D1">
        <w:noBreakHyphen/>
        <w:t>term cost trajectories that reflect aggregated project</w:t>
      </w:r>
      <w:r w:rsidRPr="003122D1">
        <w:noBreakHyphen/>
        <w:t>level data across multiple regions.</w:t>
      </w:r>
    </w:p>
    <w:p w:rsidR="003122D1" w:rsidRPr="003122D1" w:rsidRDefault="003122D1" w:rsidP="003122D1">
      <w:pPr>
        <w:rPr>
          <w:u w:val="single"/>
        </w:rPr>
      </w:pPr>
      <w:r w:rsidRPr="003122D1">
        <w:rPr>
          <w:u w:val="single"/>
        </w:rPr>
        <w:t>Electricity Market Price Data (Mendeley Data)</w:t>
      </w:r>
    </w:p>
    <w:p w:rsidR="003122D1" w:rsidRPr="003122D1" w:rsidRDefault="003122D1" w:rsidP="003122D1">
      <w:r w:rsidRPr="003122D1">
        <w:t xml:space="preserve">To complement the LCOE information, the dataset incorporates </w:t>
      </w:r>
      <w:r w:rsidRPr="003122D1">
        <w:rPr>
          <w:b/>
          <w:bCs/>
        </w:rPr>
        <w:t>day</w:t>
      </w:r>
      <w:r w:rsidRPr="003122D1">
        <w:rPr>
          <w:b/>
          <w:bCs/>
        </w:rPr>
        <w:noBreakHyphen/>
        <w:t>ahead electricity market prices</w:t>
      </w:r>
      <w:r w:rsidRPr="003122D1">
        <w:t xml:space="preserve"> for the same </w:t>
      </w:r>
      <w:r w:rsidRPr="003122D1">
        <w:rPr>
          <w:b/>
          <w:bCs/>
        </w:rPr>
        <w:t>15 countries</w:t>
      </w:r>
      <w:r w:rsidRPr="003122D1">
        <w:t xml:space="preserve"> included in the onshore wind LCOE subset. The raw hourly price data were sourced from the Global Day</w:t>
      </w:r>
      <w:r w:rsidRPr="003122D1">
        <w:noBreakHyphen/>
        <w:t xml:space="preserve">Ahead Electricity Price Dataset (Mendeley Data) and processed to compute </w:t>
      </w:r>
      <w:r w:rsidRPr="003122D1">
        <w:rPr>
          <w:b/>
          <w:bCs/>
        </w:rPr>
        <w:t>annual average electricity prices</w:t>
      </w:r>
      <w:r w:rsidRPr="003122D1">
        <w:t xml:space="preserve"> for each country from 2010 to 2023.</w:t>
      </w:r>
    </w:p>
    <w:p w:rsidR="003122D1" w:rsidRPr="003122D1" w:rsidRDefault="003122D1" w:rsidP="003122D1">
      <w:r w:rsidRPr="003122D1">
        <w:t>This integration enables direct comparison between:</w:t>
      </w:r>
    </w:p>
    <w:p w:rsidR="003122D1" w:rsidRPr="003122D1" w:rsidRDefault="003122D1" w:rsidP="003122D1">
      <w:pPr>
        <w:numPr>
          <w:ilvl w:val="0"/>
          <w:numId w:val="3"/>
        </w:numPr>
      </w:pPr>
      <w:r w:rsidRPr="003122D1">
        <w:t>the cost of generating renewable electricity (LCOE), and</w:t>
      </w:r>
    </w:p>
    <w:p w:rsidR="003122D1" w:rsidRPr="003122D1" w:rsidRDefault="003122D1" w:rsidP="003122D1">
      <w:pPr>
        <w:numPr>
          <w:ilvl w:val="0"/>
          <w:numId w:val="3"/>
        </w:numPr>
      </w:pPr>
      <w:r w:rsidRPr="003122D1">
        <w:t>the market value of electricity (day</w:t>
      </w:r>
      <w:r w:rsidRPr="003122D1">
        <w:noBreakHyphen/>
        <w:t>ahead prices).</w:t>
      </w:r>
    </w:p>
    <w:p w:rsidR="003122D1" w:rsidRDefault="003122D1" w:rsidP="003122D1">
      <w:r w:rsidRPr="003122D1">
        <w:t>Such comparisons are essential for evaluating competitiveness, investment viability,</w:t>
      </w:r>
      <w:r w:rsidR="008E16DA">
        <w:t xml:space="preserve"> trend analysis</w:t>
      </w:r>
      <w:r w:rsidRPr="003122D1">
        <w:t xml:space="preserve"> and policy impacts across different energy systems.</w:t>
      </w:r>
    </w:p>
    <w:p w:rsidR="008E16DA" w:rsidRDefault="008E16DA" w:rsidP="003122D1">
      <w:pPr>
        <w:rPr>
          <w:b/>
          <w:bCs/>
        </w:rPr>
      </w:pPr>
      <w:r w:rsidRPr="008E16DA">
        <w:rPr>
          <w:b/>
          <w:bCs/>
        </w:rPr>
        <w:t>Methodology</w:t>
      </w:r>
    </w:p>
    <w:p w:rsidR="008E16DA" w:rsidRDefault="008E16DA" w:rsidP="003122D1">
      <w:r w:rsidRPr="008E16DA">
        <w:t xml:space="preserve">This dataset was constructed through a </w:t>
      </w:r>
      <w:r>
        <w:t>two</w:t>
      </w:r>
      <w:r w:rsidRPr="008E16DA">
        <w:rPr>
          <w:rFonts w:ascii="Cambria Math" w:hAnsi="Cambria Math" w:cs="Cambria Math"/>
        </w:rPr>
        <w:t>‑</w:t>
      </w:r>
      <w:r w:rsidRPr="008E16DA">
        <w:t>stage process involving data extraction, and aggregation from two primary sources: the International Renewable Energy Agency (IRENA) and the Global Day</w:t>
      </w:r>
      <w:r w:rsidRPr="008E16DA">
        <w:rPr>
          <w:rFonts w:ascii="Cambria Math" w:hAnsi="Cambria Math" w:cs="Cambria Math"/>
        </w:rPr>
        <w:t>‑</w:t>
      </w:r>
      <w:r w:rsidRPr="008E16DA">
        <w:t>Ahead Electricity Price Dataset hosted on Mendeley Data. The methodology ensures consistency across technologies, countries, and time periods, enabling robust comparative and econometric analysis.</w:t>
      </w:r>
    </w:p>
    <w:p w:rsidR="008E16DA" w:rsidRPr="008E16DA" w:rsidRDefault="008E16DA" w:rsidP="008E16DA">
      <w:pPr>
        <w:rPr>
          <w:b/>
          <w:bCs/>
        </w:rPr>
      </w:pPr>
      <w:r w:rsidRPr="008E16DA">
        <w:rPr>
          <w:b/>
          <w:bCs/>
        </w:rPr>
        <w:t>Data Acquisition</w:t>
      </w:r>
    </w:p>
    <w:p w:rsidR="008E16DA" w:rsidRPr="008E16DA" w:rsidRDefault="008E16DA" w:rsidP="008E16DA">
      <w:pPr>
        <w:rPr>
          <w:b/>
          <w:bCs/>
        </w:rPr>
      </w:pPr>
      <w:r w:rsidRPr="008E16DA">
        <w:rPr>
          <w:b/>
          <w:bCs/>
        </w:rPr>
        <w:t>1.1 IRENA Renewable Energy Cost Data</w:t>
      </w:r>
    </w:p>
    <w:p w:rsidR="008E16DA" w:rsidRPr="008E16DA" w:rsidRDefault="008E16DA" w:rsidP="008E16DA">
      <w:r w:rsidRPr="008E16DA">
        <w:t xml:space="preserve">LCOE data for renewable energy technologies were extracted from IRENA’s </w:t>
      </w:r>
      <w:r w:rsidRPr="00A856C3">
        <w:t>R</w:t>
      </w:r>
      <w:r>
        <w:t>enewable</w:t>
      </w:r>
      <w:r w:rsidRPr="00A856C3">
        <w:t xml:space="preserve"> P</w:t>
      </w:r>
      <w:r>
        <w:t>ower</w:t>
      </w:r>
      <w:r w:rsidRPr="00A856C3">
        <w:t xml:space="preserve"> G</w:t>
      </w:r>
      <w:r>
        <w:t>eneration</w:t>
      </w:r>
      <w:r w:rsidRPr="00A856C3">
        <w:t xml:space="preserve"> C</w:t>
      </w:r>
      <w:r>
        <w:t>osts</w:t>
      </w:r>
      <w:r w:rsidRPr="00A856C3">
        <w:t xml:space="preserve"> </w:t>
      </w:r>
      <w:r>
        <w:t>in</w:t>
      </w:r>
      <w:r w:rsidRPr="00A856C3">
        <w:t xml:space="preserve"> 2023</w:t>
      </w:r>
      <w:r>
        <w:t xml:space="preserve"> report</w:t>
      </w:r>
      <w:r w:rsidRPr="008E16DA">
        <w:t xml:space="preserve"> </w:t>
      </w:r>
      <w:r w:rsidRPr="008E16DA">
        <w:t>and statistical datasets. The following subsets were collected:</w:t>
      </w:r>
    </w:p>
    <w:p w:rsidR="008E16DA" w:rsidRPr="008E16DA" w:rsidRDefault="008E16DA" w:rsidP="008E16DA">
      <w:pPr>
        <w:numPr>
          <w:ilvl w:val="0"/>
          <w:numId w:val="4"/>
        </w:numPr>
      </w:pPr>
      <w:r w:rsidRPr="008E16DA">
        <w:rPr>
          <w:b/>
          <w:bCs/>
        </w:rPr>
        <w:t>Country</w:t>
      </w:r>
      <w:r w:rsidRPr="008E16DA">
        <w:rPr>
          <w:b/>
          <w:bCs/>
        </w:rPr>
        <w:noBreakHyphen/>
        <w:t>level LCOE</w:t>
      </w:r>
    </w:p>
    <w:p w:rsidR="008E16DA" w:rsidRPr="008E16DA" w:rsidRDefault="008E16DA" w:rsidP="008E16DA">
      <w:pPr>
        <w:numPr>
          <w:ilvl w:val="1"/>
          <w:numId w:val="4"/>
        </w:numPr>
      </w:pPr>
      <w:r w:rsidRPr="008E16DA">
        <w:t>Onshore wind: 15 countries (2010–2023)</w:t>
      </w:r>
    </w:p>
    <w:p w:rsidR="008E16DA" w:rsidRPr="008E16DA" w:rsidRDefault="008E16DA" w:rsidP="008E16DA">
      <w:pPr>
        <w:numPr>
          <w:ilvl w:val="1"/>
          <w:numId w:val="4"/>
        </w:numPr>
      </w:pPr>
      <w:r w:rsidRPr="008E16DA">
        <w:t>Utility</w:t>
      </w:r>
      <w:r w:rsidRPr="008E16DA">
        <w:noBreakHyphen/>
        <w:t>scale solar PV: 13 countries (2018–2023)</w:t>
      </w:r>
    </w:p>
    <w:p w:rsidR="008E16DA" w:rsidRPr="008E16DA" w:rsidRDefault="008E16DA" w:rsidP="008E16DA">
      <w:pPr>
        <w:numPr>
          <w:ilvl w:val="0"/>
          <w:numId w:val="4"/>
        </w:numPr>
      </w:pPr>
      <w:r w:rsidRPr="008E16DA">
        <w:rPr>
          <w:b/>
          <w:bCs/>
        </w:rPr>
        <w:lastRenderedPageBreak/>
        <w:t>Global weighted</w:t>
      </w:r>
      <w:r w:rsidRPr="008E16DA">
        <w:rPr>
          <w:b/>
          <w:bCs/>
        </w:rPr>
        <w:noBreakHyphen/>
        <w:t>average LCOE</w:t>
      </w:r>
    </w:p>
    <w:p w:rsidR="008E16DA" w:rsidRPr="008E16DA" w:rsidRDefault="008E16DA" w:rsidP="008E16DA">
      <w:pPr>
        <w:numPr>
          <w:ilvl w:val="1"/>
          <w:numId w:val="4"/>
        </w:numPr>
      </w:pPr>
      <w:r w:rsidRPr="008E16DA">
        <w:t>Offshore wind: 2000–2023</w:t>
      </w:r>
    </w:p>
    <w:p w:rsidR="008E16DA" w:rsidRPr="008E16DA" w:rsidRDefault="008E16DA" w:rsidP="008E16DA">
      <w:pPr>
        <w:numPr>
          <w:ilvl w:val="1"/>
          <w:numId w:val="4"/>
        </w:numPr>
      </w:pPr>
      <w:r w:rsidRPr="008E16DA">
        <w:t>Concentrated Solar Power (CSP): 2010–2023</w:t>
      </w:r>
    </w:p>
    <w:p w:rsidR="008E16DA" w:rsidRPr="008E16DA" w:rsidRDefault="008E16DA" w:rsidP="008E16DA">
      <w:pPr>
        <w:numPr>
          <w:ilvl w:val="1"/>
          <w:numId w:val="4"/>
        </w:numPr>
      </w:pPr>
      <w:r w:rsidRPr="008E16DA">
        <w:t>Hydropower: 2010–2023</w:t>
      </w:r>
    </w:p>
    <w:p w:rsidR="008E16DA" w:rsidRPr="008E16DA" w:rsidRDefault="008E16DA" w:rsidP="008E16DA">
      <w:pPr>
        <w:numPr>
          <w:ilvl w:val="1"/>
          <w:numId w:val="4"/>
        </w:numPr>
      </w:pPr>
      <w:r w:rsidRPr="008E16DA">
        <w:t>Geothermal: 2010–2023</w:t>
      </w:r>
    </w:p>
    <w:p w:rsidR="008E16DA" w:rsidRPr="008E16DA" w:rsidRDefault="008E16DA" w:rsidP="008E16DA">
      <w:pPr>
        <w:numPr>
          <w:ilvl w:val="1"/>
          <w:numId w:val="4"/>
        </w:numPr>
      </w:pPr>
      <w:r w:rsidRPr="008E16DA">
        <w:t>Bioenergy: 2010–2023</w:t>
      </w:r>
    </w:p>
    <w:p w:rsidR="008E16DA" w:rsidRPr="008E16DA" w:rsidRDefault="008E16DA" w:rsidP="008E16DA">
      <w:r w:rsidRPr="008E16DA">
        <w:t xml:space="preserve">Data were downloaded in </w:t>
      </w:r>
      <w:r>
        <w:t>.CSV</w:t>
      </w:r>
      <w:r w:rsidRPr="008E16DA">
        <w:t xml:space="preserve"> formats for </w:t>
      </w:r>
      <w:r>
        <w:t>the given timeseries</w:t>
      </w:r>
      <w:r w:rsidRPr="008E16DA">
        <w:t>.</w:t>
      </w:r>
    </w:p>
    <w:p w:rsidR="008E16DA" w:rsidRPr="008E16DA" w:rsidRDefault="008E16DA" w:rsidP="008E16DA">
      <w:pPr>
        <w:rPr>
          <w:b/>
          <w:bCs/>
        </w:rPr>
      </w:pPr>
      <w:r w:rsidRPr="008E16DA">
        <w:rPr>
          <w:b/>
          <w:bCs/>
        </w:rPr>
        <w:t>1.2 Mendeley Day</w:t>
      </w:r>
      <w:r w:rsidRPr="008E16DA">
        <w:rPr>
          <w:b/>
          <w:bCs/>
        </w:rPr>
        <w:noBreakHyphen/>
        <w:t>Ahead Electricity Price Data</w:t>
      </w:r>
    </w:p>
    <w:p w:rsidR="008E16DA" w:rsidRPr="008E16DA" w:rsidRDefault="008E16DA" w:rsidP="008E16DA">
      <w:r w:rsidRPr="008E16DA">
        <w:t xml:space="preserve">Hourly electricity market prices were obtained from the </w:t>
      </w:r>
      <w:r w:rsidRPr="008E16DA">
        <w:rPr>
          <w:b/>
          <w:bCs/>
        </w:rPr>
        <w:t>Global Day</w:t>
      </w:r>
      <w:r w:rsidRPr="008E16DA">
        <w:rPr>
          <w:b/>
          <w:bCs/>
        </w:rPr>
        <w:noBreakHyphen/>
        <w:t>Ahead Electricity Price Dataset</w:t>
      </w:r>
      <w:r w:rsidRPr="008E16DA">
        <w:t xml:space="preserve"> on Mendeley Data. The dataset includes raw market prices for multiple countries and bidding zones.</w:t>
      </w:r>
    </w:p>
    <w:p w:rsidR="008E16DA" w:rsidRDefault="008E16DA" w:rsidP="008E16DA">
      <w:r w:rsidRPr="008E16DA">
        <w:t xml:space="preserve">For consistency with the onshore wind LCOE subset, the same </w:t>
      </w:r>
      <w:r w:rsidRPr="008E16DA">
        <w:rPr>
          <w:b/>
          <w:bCs/>
        </w:rPr>
        <w:t>15 countries</w:t>
      </w:r>
      <w:r w:rsidRPr="008E16DA">
        <w:t xml:space="preserve"> were selected.</w:t>
      </w:r>
    </w:p>
    <w:p w:rsidR="008E16DA" w:rsidRPr="008E16DA" w:rsidRDefault="008E16DA" w:rsidP="008E16DA">
      <w:pPr>
        <w:rPr>
          <w:b/>
          <w:bCs/>
        </w:rPr>
      </w:pPr>
      <w:r w:rsidRPr="008E16DA">
        <w:rPr>
          <w:b/>
          <w:bCs/>
        </w:rPr>
        <w:t>Data</w:t>
      </w:r>
      <w:r w:rsidRPr="008E16DA">
        <w:rPr>
          <w:b/>
          <w:bCs/>
        </w:rPr>
        <w:t xml:space="preserve"> </w:t>
      </w:r>
      <w:r w:rsidRPr="008E16DA">
        <w:rPr>
          <w:b/>
          <w:bCs/>
        </w:rPr>
        <w:t>Pre</w:t>
      </w:r>
      <w:r w:rsidRPr="008E16DA">
        <w:rPr>
          <w:b/>
          <w:bCs/>
        </w:rPr>
        <w:noBreakHyphen/>
        <w:t>Processing</w:t>
      </w:r>
    </w:p>
    <w:p w:rsidR="008E16DA" w:rsidRPr="008E16DA" w:rsidRDefault="008E16DA" w:rsidP="008E16DA">
      <w:pPr>
        <w:rPr>
          <w:b/>
          <w:bCs/>
        </w:rPr>
      </w:pPr>
      <w:r w:rsidRPr="008E16DA">
        <w:rPr>
          <w:b/>
          <w:bCs/>
        </w:rPr>
        <w:t>2.1 Standardization of Units and Formats</w:t>
      </w:r>
    </w:p>
    <w:p w:rsidR="008E16DA" w:rsidRPr="008E16DA" w:rsidRDefault="008E16DA" w:rsidP="008E16DA">
      <w:pPr>
        <w:numPr>
          <w:ilvl w:val="0"/>
          <w:numId w:val="5"/>
        </w:numPr>
      </w:pPr>
      <w:r w:rsidRPr="008E16DA">
        <w:t>All LCOE values</w:t>
      </w:r>
      <w:r w:rsidR="00407A4A">
        <w:t xml:space="preserve"> have </w:t>
      </w:r>
      <w:r w:rsidRPr="008E16DA">
        <w:t xml:space="preserve">consistent unit: </w:t>
      </w:r>
      <w:r w:rsidRPr="008E16DA">
        <w:rPr>
          <w:b/>
          <w:bCs/>
        </w:rPr>
        <w:t>USD/kWh</w:t>
      </w:r>
      <w:r>
        <w:t xml:space="preserve"> as of 2023</w:t>
      </w:r>
      <w:r w:rsidRPr="008E16DA">
        <w:t>.</w:t>
      </w:r>
      <w:r w:rsidR="00407A4A">
        <w:t xml:space="preserve"> </w:t>
      </w:r>
    </w:p>
    <w:p w:rsidR="008E16DA" w:rsidRPr="008E16DA" w:rsidRDefault="008E16DA" w:rsidP="008E16DA">
      <w:pPr>
        <w:numPr>
          <w:ilvl w:val="0"/>
          <w:numId w:val="5"/>
        </w:numPr>
      </w:pPr>
      <w:r w:rsidRPr="008E16DA">
        <w:t xml:space="preserve">Electricity prices were standardized to </w:t>
      </w:r>
      <w:r w:rsidRPr="008E16DA">
        <w:rPr>
          <w:b/>
          <w:bCs/>
        </w:rPr>
        <w:t>annual average prices in USD/</w:t>
      </w:r>
      <w:r>
        <w:rPr>
          <w:b/>
          <w:bCs/>
        </w:rPr>
        <w:t>k</w:t>
      </w:r>
      <w:r w:rsidRPr="008E16DA">
        <w:rPr>
          <w:b/>
          <w:bCs/>
        </w:rPr>
        <w:t>Wh</w:t>
      </w:r>
      <w:r w:rsidRPr="008E16DA">
        <w:t>.</w:t>
      </w:r>
    </w:p>
    <w:p w:rsidR="008E16DA" w:rsidRDefault="008E16DA" w:rsidP="008E16DA">
      <w:pPr>
        <w:numPr>
          <w:ilvl w:val="0"/>
          <w:numId w:val="5"/>
        </w:numPr>
      </w:pPr>
      <w:r w:rsidRPr="008E16DA">
        <w:t xml:space="preserve">Inflation adjustments were </w:t>
      </w:r>
      <w:r>
        <w:t>only</w:t>
      </w:r>
      <w:r w:rsidRPr="008E16DA">
        <w:t xml:space="preserve"> applied </w:t>
      </w:r>
      <w:r>
        <w:t>to market that primarily uses USD</w:t>
      </w:r>
      <w:r w:rsidR="00407A4A">
        <w:t xml:space="preserve"> using following calculator (</w:t>
      </w:r>
      <w:hyperlink r:id="rId6" w:history="1">
        <w:r w:rsidR="00407A4A" w:rsidRPr="00137944">
          <w:rPr>
            <w:rStyle w:val="Hyperlink"/>
          </w:rPr>
          <w:t>https://www.in2013dollars.com/</w:t>
        </w:r>
      </w:hyperlink>
      <w:r w:rsidR="00407A4A">
        <w:t xml:space="preserve">) </w:t>
      </w:r>
      <w:r>
        <w:t xml:space="preserve">or </w:t>
      </w:r>
      <w:r w:rsidRPr="008E16DA">
        <w:t>unless already included in the source data</w:t>
      </w:r>
      <w:r w:rsidR="00407A4A">
        <w:t>.</w:t>
      </w:r>
    </w:p>
    <w:p w:rsidR="00407A4A" w:rsidRDefault="00407A4A" w:rsidP="008E16DA">
      <w:pPr>
        <w:numPr>
          <w:ilvl w:val="0"/>
          <w:numId w:val="5"/>
        </w:numPr>
      </w:pPr>
      <w:r>
        <w:t xml:space="preserve">All the market prices were converted to </w:t>
      </w:r>
      <w:r w:rsidRPr="00407A4A">
        <w:rPr>
          <w:b/>
          <w:bCs/>
        </w:rPr>
        <w:t>USD/kWh</w:t>
      </w:r>
      <w:r>
        <w:rPr>
          <w:b/>
          <w:bCs/>
        </w:rPr>
        <w:t xml:space="preserve"> </w:t>
      </w:r>
      <w:r>
        <w:t xml:space="preserve">as of 2023 using </w:t>
      </w:r>
      <w:hyperlink r:id="rId7" w:history="1">
        <w:r w:rsidRPr="00137944">
          <w:rPr>
            <w:rStyle w:val="Hyperlink"/>
          </w:rPr>
          <w:t>https://www.exchangerates.org.uk/</w:t>
        </w:r>
      </w:hyperlink>
      <w:r>
        <w:t xml:space="preserve"> which was primarily in own market currency as following </w:t>
      </w:r>
      <w:r>
        <w:fldChar w:fldCharType="begin"/>
      </w:r>
      <w:r>
        <w:instrText xml:space="preserve"> REF _Ref223679508 \h </w:instrText>
      </w:r>
      <w:r>
        <w:fldChar w:fldCharType="separate"/>
      </w:r>
      <w:r>
        <w:t xml:space="preserve">Figure </w:t>
      </w:r>
      <w:r>
        <w:rPr>
          <w:noProof/>
        </w:rPr>
        <w:t>1</w:t>
      </w:r>
      <w:r>
        <w:fldChar w:fldCharType="end"/>
      </w:r>
      <w:r>
        <w:t>:</w:t>
      </w:r>
    </w:p>
    <w:p w:rsidR="00407A4A" w:rsidRDefault="00407A4A" w:rsidP="00407A4A">
      <w:pPr>
        <w:keepNext/>
        <w:ind w:left="720"/>
      </w:pPr>
      <w:r>
        <w:rPr>
          <w:noProof/>
        </w:rPr>
        <w:lastRenderedPageBreak/>
        <w:drawing>
          <wp:inline distT="0" distB="0" distL="0" distR="0" wp14:anchorId="796A2374" wp14:editId="43EAA194">
            <wp:extent cx="4217868" cy="5089983"/>
            <wp:effectExtent l="0" t="0" r="0" b="0"/>
            <wp:docPr id="3214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9799" name=""/>
                    <pic:cNvPicPr/>
                  </pic:nvPicPr>
                  <pic:blipFill>
                    <a:blip r:embed="rId8"/>
                    <a:stretch>
                      <a:fillRect/>
                    </a:stretch>
                  </pic:blipFill>
                  <pic:spPr>
                    <a:xfrm>
                      <a:off x="0" y="0"/>
                      <a:ext cx="4225782" cy="5099534"/>
                    </a:xfrm>
                    <a:prstGeom prst="rect">
                      <a:avLst/>
                    </a:prstGeom>
                  </pic:spPr>
                </pic:pic>
              </a:graphicData>
            </a:graphic>
          </wp:inline>
        </w:drawing>
      </w:r>
    </w:p>
    <w:p w:rsidR="00407A4A" w:rsidRDefault="00407A4A" w:rsidP="00407A4A">
      <w:pPr>
        <w:pStyle w:val="Caption"/>
      </w:pPr>
      <w:bookmarkStart w:id="0" w:name="_Ref223679508"/>
      <w:r>
        <w:t xml:space="preserve">Figure </w:t>
      </w:r>
      <w:r>
        <w:fldChar w:fldCharType="begin"/>
      </w:r>
      <w:r>
        <w:instrText xml:space="preserve"> SEQ Figure \* ARABIC </w:instrText>
      </w:r>
      <w:r>
        <w:fldChar w:fldCharType="separate"/>
      </w:r>
      <w:r>
        <w:rPr>
          <w:noProof/>
        </w:rPr>
        <w:t>1</w:t>
      </w:r>
      <w:r>
        <w:fldChar w:fldCharType="end"/>
      </w:r>
      <w:bookmarkEnd w:id="0"/>
      <w:r>
        <w:t>: Electricity Price Dataset Information by Mendeley</w:t>
      </w:r>
      <w:r w:rsidR="003D4E97">
        <w:t>|</w:t>
      </w:r>
      <w:r w:rsidR="003D4E97" w:rsidRPr="003D4E97">
        <w:rPr>
          <w:rFonts w:ascii="Arial" w:hAnsi="Arial" w:cs="Arial"/>
          <w:i w:val="0"/>
          <w:iCs w:val="0"/>
          <w:color w:val="333333"/>
          <w:sz w:val="20"/>
          <w:szCs w:val="20"/>
          <w:shd w:val="clear" w:color="auto" w:fill="FFFFFF"/>
        </w:rPr>
        <w:t xml:space="preserve"> </w:t>
      </w:r>
      <w:r w:rsidR="003D4E97" w:rsidRPr="003D4E97">
        <w:t>Ullah</w:t>
      </w:r>
      <w:r w:rsidR="003D4E97">
        <w:t xml:space="preserve"> et al. 2025</w:t>
      </w:r>
    </w:p>
    <w:p w:rsidR="00507C25" w:rsidRPr="00507C25" w:rsidRDefault="00507C25" w:rsidP="00507C25">
      <w:pPr>
        <w:rPr>
          <w:b/>
          <w:bCs/>
        </w:rPr>
      </w:pPr>
      <w:r w:rsidRPr="00507C25">
        <w:rPr>
          <w:b/>
          <w:bCs/>
        </w:rPr>
        <w:t>2.2 Handling Missing Values</w:t>
      </w:r>
    </w:p>
    <w:p w:rsidR="00507C25" w:rsidRPr="00507C25" w:rsidRDefault="00507C25" w:rsidP="00507C25">
      <w:pPr>
        <w:numPr>
          <w:ilvl w:val="0"/>
          <w:numId w:val="6"/>
        </w:numPr>
      </w:pPr>
      <w:r w:rsidRPr="00507C25">
        <w:t>Years with missing LCOE values were left blank to preserve data integrity.</w:t>
      </w:r>
    </w:p>
    <w:p w:rsidR="00507C25" w:rsidRPr="00507C25" w:rsidRDefault="00507C25" w:rsidP="00507C25">
      <w:pPr>
        <w:numPr>
          <w:ilvl w:val="0"/>
          <w:numId w:val="6"/>
        </w:numPr>
      </w:pPr>
      <w:r w:rsidRPr="00507C25">
        <w:t>Countries with incomplete solar PV data (pre</w:t>
      </w:r>
      <w:r w:rsidRPr="00507C25">
        <w:noBreakHyphen/>
        <w:t>2018) were retained without interpolation.</w:t>
      </w:r>
    </w:p>
    <w:p w:rsidR="00507C25" w:rsidRPr="00507C25" w:rsidRDefault="00507C25" w:rsidP="00507C25">
      <w:pPr>
        <w:rPr>
          <w:b/>
          <w:bCs/>
        </w:rPr>
      </w:pPr>
      <w:r>
        <w:rPr>
          <w:b/>
          <w:bCs/>
        </w:rPr>
        <w:t xml:space="preserve">2.3 </w:t>
      </w:r>
      <w:r w:rsidRPr="00507C25">
        <w:rPr>
          <w:b/>
          <w:bCs/>
        </w:rPr>
        <w:t>Country Matching and Harmonization</w:t>
      </w:r>
    </w:p>
    <w:p w:rsidR="00507C25" w:rsidRPr="00507C25" w:rsidRDefault="00507C25" w:rsidP="00507C25">
      <w:r w:rsidRPr="00507C25">
        <w:t>Country names and codes were standardized across both datasets to ensure:</w:t>
      </w:r>
    </w:p>
    <w:p w:rsidR="00507C25" w:rsidRPr="00507C25" w:rsidRDefault="00507C25" w:rsidP="00507C25">
      <w:pPr>
        <w:numPr>
          <w:ilvl w:val="0"/>
          <w:numId w:val="7"/>
        </w:numPr>
      </w:pPr>
      <w:r w:rsidRPr="00507C25">
        <w:t>consistent merging</w:t>
      </w:r>
    </w:p>
    <w:p w:rsidR="00507C25" w:rsidRPr="00507C25" w:rsidRDefault="00507C25" w:rsidP="00507C25">
      <w:pPr>
        <w:numPr>
          <w:ilvl w:val="0"/>
          <w:numId w:val="7"/>
        </w:numPr>
      </w:pPr>
      <w:r w:rsidRPr="00507C25">
        <w:t>compatibility with modeling tools</w:t>
      </w:r>
    </w:p>
    <w:p w:rsidR="00507C25" w:rsidRDefault="00507C25" w:rsidP="00507C25">
      <w:pPr>
        <w:numPr>
          <w:ilvl w:val="0"/>
          <w:numId w:val="7"/>
        </w:numPr>
      </w:pPr>
      <w:r w:rsidRPr="00507C25">
        <w:t>reproducibility</w:t>
      </w:r>
    </w:p>
    <w:p w:rsidR="00507C25" w:rsidRPr="00507C25" w:rsidRDefault="00507C25" w:rsidP="00507C25">
      <w:pPr>
        <w:rPr>
          <w:b/>
          <w:bCs/>
        </w:rPr>
      </w:pPr>
    </w:p>
    <w:p w:rsidR="00407A4A" w:rsidRPr="00407A4A" w:rsidRDefault="00507C25" w:rsidP="00407A4A">
      <w:r w:rsidRPr="00507C25">
        <w:rPr>
          <w:b/>
          <w:bCs/>
        </w:rPr>
        <w:lastRenderedPageBreak/>
        <w:t>Data Transformation</w:t>
      </w:r>
    </w:p>
    <w:p w:rsidR="00507C25" w:rsidRPr="00507C25" w:rsidRDefault="00507C25" w:rsidP="00507C25">
      <w:pPr>
        <w:rPr>
          <w:b/>
          <w:bCs/>
        </w:rPr>
      </w:pPr>
      <w:r w:rsidRPr="00507C25">
        <w:rPr>
          <w:b/>
          <w:bCs/>
        </w:rPr>
        <w:t>3.1 Annual Average Electricity Price Calculation</w:t>
      </w:r>
    </w:p>
    <w:p w:rsidR="00507C25" w:rsidRPr="00507C25" w:rsidRDefault="00507C25" w:rsidP="00507C25">
      <w:r w:rsidRPr="00507C25">
        <w:t>For each country:</w:t>
      </w:r>
    </w:p>
    <w:p w:rsidR="00407A4A" w:rsidRDefault="00507C25" w:rsidP="00507C25">
      <w:r w:rsidRPr="00507C25">
        <w:t>Raw hourly prices were directly aggregated including multiple bidding zones to simply form a simple average was used to calculate annual average electricity prices.</w:t>
      </w:r>
    </w:p>
    <w:p w:rsidR="00351EF6" w:rsidRDefault="00351EF6" w:rsidP="00507C25">
      <w:r>
        <w:t>Calculation method:</w:t>
      </w:r>
    </w:p>
    <w:p w:rsidR="00351EF6" w:rsidRDefault="00351EF6" w:rsidP="00507C25">
      <w:r>
        <w:t xml:space="preserve">A python-base code snippet was prepared to handle datafiles manually to calculate the average price. </w:t>
      </w:r>
      <w:r w:rsidR="003D4E97">
        <w:t xml:space="preserve">Source Code: </w:t>
      </w:r>
      <w:hyperlink r:id="rId9" w:history="1">
        <w:r w:rsidR="003D4E97" w:rsidRPr="00137944">
          <w:rPr>
            <w:rStyle w:val="Hyperlink"/>
          </w:rPr>
          <w:t>https://github.com/Hasib9025/Subsidy-Proxy---LCOE-of-Renewables-Annual-Average-Electricity-Price-2010-2023-for-15-Countries-/blob/main/Day_Ahead_Price_Avrg_Calc_USA.ipynb</w:t>
        </w:r>
      </w:hyperlink>
      <w:r w:rsidR="003D4E97">
        <w:t xml:space="preserve"> </w:t>
      </w:r>
    </w:p>
    <w:p w:rsidR="00507C25" w:rsidRDefault="00507C25" w:rsidP="00507C25"/>
    <w:p w:rsidR="00507C25" w:rsidRDefault="00507C25" w:rsidP="00507C25">
      <w:r>
        <w:t xml:space="preserve">Sources: </w:t>
      </w:r>
    </w:p>
    <w:p w:rsidR="00507C25" w:rsidRDefault="00507C25" w:rsidP="00507C25">
      <w:pPr>
        <w:pStyle w:val="ListParagraph"/>
        <w:numPr>
          <w:ilvl w:val="0"/>
          <w:numId w:val="9"/>
        </w:numPr>
      </w:pPr>
      <w:r w:rsidRPr="00507C25">
        <w:t>IRENA-Datafile-RenPwrGenCosts-in-2023-v1</w:t>
      </w:r>
      <w:r>
        <w:t xml:space="preserve">: </w:t>
      </w:r>
      <w:hyperlink r:id="rId10" w:history="1">
        <w:r w:rsidRPr="00137944">
          <w:rPr>
            <w:rStyle w:val="Hyperlink"/>
          </w:rPr>
          <w:t>https://irena.sharepoint.com/:x:/s/statistics-public/EadRMwuKf9RKuyr5aMiulQ0BW-yR_gSPJ--YgRa15kNeRg?e=m27gCS</w:t>
        </w:r>
      </w:hyperlink>
      <w:r>
        <w:t xml:space="preserve"> </w:t>
      </w:r>
    </w:p>
    <w:p w:rsidR="00351EF6" w:rsidRDefault="00351EF6" w:rsidP="00507C25">
      <w:pPr>
        <w:pStyle w:val="ListParagraph"/>
        <w:numPr>
          <w:ilvl w:val="0"/>
          <w:numId w:val="9"/>
        </w:numPr>
      </w:pPr>
      <w:r>
        <w:t xml:space="preserve">Detailed report by IRENA: </w:t>
      </w:r>
      <w:hyperlink r:id="rId11" w:history="1">
        <w:r w:rsidRPr="00137944">
          <w:rPr>
            <w:rStyle w:val="Hyperlink"/>
          </w:rPr>
          <w:t>https://www.irena.org/Publications/2024/Sep/Renewable-Power-Generation-Costs-in-2023</w:t>
        </w:r>
      </w:hyperlink>
      <w:r>
        <w:t xml:space="preserve"> </w:t>
      </w:r>
    </w:p>
    <w:p w:rsidR="00507C25" w:rsidRDefault="00507C25" w:rsidP="00507C25">
      <w:pPr>
        <w:pStyle w:val="ListParagraph"/>
        <w:numPr>
          <w:ilvl w:val="0"/>
          <w:numId w:val="9"/>
        </w:numPr>
      </w:pPr>
      <w:r w:rsidRPr="00507C25">
        <w:t xml:space="preserve">Global Day-Ahead Electricity Price </w:t>
      </w:r>
      <w:proofErr w:type="gramStart"/>
      <w:r w:rsidRPr="00507C25">
        <w:t>Dataset</w:t>
      </w:r>
      <w:r>
        <w:t xml:space="preserve"> :</w:t>
      </w:r>
      <w:proofErr w:type="gramEnd"/>
      <w:r>
        <w:t xml:space="preserve"> </w:t>
      </w:r>
      <w:hyperlink r:id="rId12" w:history="1">
        <w:r w:rsidR="00351EF6" w:rsidRPr="00137944">
          <w:rPr>
            <w:rStyle w:val="Hyperlink"/>
          </w:rPr>
          <w:t>https://data.mendeley.com/datasets/s54n4tyyz4/3</w:t>
        </w:r>
      </w:hyperlink>
      <w:r w:rsidR="00351EF6">
        <w:t xml:space="preserve"> </w:t>
      </w:r>
    </w:p>
    <w:p w:rsidR="003D4E97" w:rsidRDefault="00351EF6" w:rsidP="003D4E97">
      <w:pPr>
        <w:pStyle w:val="ListParagraph"/>
        <w:numPr>
          <w:ilvl w:val="0"/>
          <w:numId w:val="9"/>
        </w:numPr>
      </w:pPr>
      <w:r>
        <w:t xml:space="preserve">Detailed report on </w:t>
      </w:r>
      <w:r w:rsidRPr="00507C25">
        <w:t>Global Day-Ahead Electricity Price Dataset</w:t>
      </w:r>
      <w:r>
        <w:t xml:space="preserve">: </w:t>
      </w:r>
      <w:r w:rsidR="003D4E97">
        <w:t xml:space="preserve">M. H. Ullah, S. M. Reza, L. M. </w:t>
      </w:r>
      <w:proofErr w:type="spellStart"/>
      <w:r w:rsidR="003D4E97">
        <w:t>Gundapaneni</w:t>
      </w:r>
      <w:proofErr w:type="spellEnd"/>
      <w:r w:rsidR="003D4E97">
        <w:t xml:space="preserve">, P. Balachander, B. </w:t>
      </w:r>
      <w:proofErr w:type="spellStart"/>
      <w:r w:rsidR="003D4E97">
        <w:t>Babaiahgari</w:t>
      </w:r>
      <w:proofErr w:type="spellEnd"/>
      <w:r w:rsidR="003D4E97">
        <w:t xml:space="preserve"> and A. A. A. Khan, "Descriptor: Unified Cross-Regional Time-Series Day-Ahead Electricity Price Dataset (</w:t>
      </w:r>
      <w:proofErr w:type="spellStart"/>
      <w:r w:rsidR="003D4E97">
        <w:t>UniElecPrice</w:t>
      </w:r>
      <w:proofErr w:type="spellEnd"/>
      <w:r w:rsidR="003D4E97">
        <w:t xml:space="preserve">)," in IEEE Data Descriptions, vol. 2, pp. 329-339, 2025, </w:t>
      </w:r>
      <w:proofErr w:type="spellStart"/>
      <w:r w:rsidR="003D4E97">
        <w:t>doi</w:t>
      </w:r>
      <w:proofErr w:type="spellEnd"/>
      <w:r w:rsidR="003D4E97">
        <w:t>: 10.1109/IEEEDATA.2025.3609683</w:t>
      </w:r>
      <w:r w:rsidR="003D4E97">
        <w:t xml:space="preserve">. Source: </w:t>
      </w:r>
      <w:hyperlink r:id="rId13" w:history="1">
        <w:r w:rsidR="003D4E97" w:rsidRPr="00137944">
          <w:rPr>
            <w:rStyle w:val="Hyperlink"/>
          </w:rPr>
          <w:t>https://ieeexplore.ieee.org/document/11169754</w:t>
        </w:r>
      </w:hyperlink>
      <w:r w:rsidR="003D4E97">
        <w:t xml:space="preserve"> </w:t>
      </w:r>
    </w:p>
    <w:p w:rsidR="003D4E97" w:rsidRPr="008E16DA" w:rsidRDefault="003D4E97" w:rsidP="003D4E97">
      <w:pPr>
        <w:ind w:left="360"/>
      </w:pPr>
    </w:p>
    <w:p w:rsidR="008E16DA" w:rsidRPr="008E16DA" w:rsidRDefault="008E16DA" w:rsidP="003122D1">
      <w:r>
        <w:t xml:space="preserve"> </w:t>
      </w:r>
    </w:p>
    <w:p w:rsidR="008E16DA" w:rsidRPr="003122D1" w:rsidRDefault="008E16DA" w:rsidP="003122D1"/>
    <w:p w:rsidR="003122D1" w:rsidRDefault="003122D1" w:rsidP="00A856C3"/>
    <w:p w:rsidR="003122D1" w:rsidRDefault="003122D1" w:rsidP="00A856C3"/>
    <w:sectPr w:rsidR="00312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BC4"/>
    <w:multiLevelType w:val="multilevel"/>
    <w:tmpl w:val="863A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190D"/>
    <w:multiLevelType w:val="multilevel"/>
    <w:tmpl w:val="89E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7273B"/>
    <w:multiLevelType w:val="multilevel"/>
    <w:tmpl w:val="661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64159"/>
    <w:multiLevelType w:val="multilevel"/>
    <w:tmpl w:val="747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034C9"/>
    <w:multiLevelType w:val="multilevel"/>
    <w:tmpl w:val="959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65D29"/>
    <w:multiLevelType w:val="multilevel"/>
    <w:tmpl w:val="4E4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47CAF"/>
    <w:multiLevelType w:val="multilevel"/>
    <w:tmpl w:val="1A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86B02"/>
    <w:multiLevelType w:val="hybridMultilevel"/>
    <w:tmpl w:val="4B789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D5C67"/>
    <w:multiLevelType w:val="multilevel"/>
    <w:tmpl w:val="2504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353272">
    <w:abstractNumId w:val="5"/>
  </w:num>
  <w:num w:numId="2" w16cid:durableId="1742941136">
    <w:abstractNumId w:val="1"/>
  </w:num>
  <w:num w:numId="3" w16cid:durableId="664674855">
    <w:abstractNumId w:val="4"/>
  </w:num>
  <w:num w:numId="4" w16cid:durableId="706178425">
    <w:abstractNumId w:val="0"/>
  </w:num>
  <w:num w:numId="5" w16cid:durableId="605650432">
    <w:abstractNumId w:val="6"/>
  </w:num>
  <w:num w:numId="6" w16cid:durableId="1551769590">
    <w:abstractNumId w:val="3"/>
  </w:num>
  <w:num w:numId="7" w16cid:durableId="655914000">
    <w:abstractNumId w:val="2"/>
  </w:num>
  <w:num w:numId="8" w16cid:durableId="64959979">
    <w:abstractNumId w:val="8"/>
  </w:num>
  <w:num w:numId="9" w16cid:durableId="1319727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E2"/>
    <w:rsid w:val="000125BB"/>
    <w:rsid w:val="003122D1"/>
    <w:rsid w:val="00351EF6"/>
    <w:rsid w:val="003D4E97"/>
    <w:rsid w:val="00407A4A"/>
    <w:rsid w:val="004A3D4A"/>
    <w:rsid w:val="00507C25"/>
    <w:rsid w:val="006E6C91"/>
    <w:rsid w:val="006F09F6"/>
    <w:rsid w:val="007465C4"/>
    <w:rsid w:val="008E16DA"/>
    <w:rsid w:val="00A856C3"/>
    <w:rsid w:val="00B133E2"/>
    <w:rsid w:val="00B76A5A"/>
    <w:rsid w:val="00D24CDE"/>
    <w:rsid w:val="00DD0480"/>
    <w:rsid w:val="00F32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0D00"/>
  <w15:chartTrackingRefBased/>
  <w15:docId w15:val="{2C3F992F-B9D3-4B12-B5E3-4CC1D55B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E2"/>
    <w:rPr>
      <w:rFonts w:eastAsiaTheme="majorEastAsia" w:cstheme="majorBidi"/>
      <w:color w:val="272727" w:themeColor="text1" w:themeTint="D8"/>
    </w:rPr>
  </w:style>
  <w:style w:type="paragraph" w:styleId="Title">
    <w:name w:val="Title"/>
    <w:basedOn w:val="Normal"/>
    <w:next w:val="Normal"/>
    <w:link w:val="TitleChar"/>
    <w:uiPriority w:val="10"/>
    <w:qFormat/>
    <w:rsid w:val="00B1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3E2"/>
    <w:pPr>
      <w:spacing w:before="160"/>
      <w:jc w:val="center"/>
    </w:pPr>
    <w:rPr>
      <w:i/>
      <w:iCs/>
      <w:color w:val="404040" w:themeColor="text1" w:themeTint="BF"/>
    </w:rPr>
  </w:style>
  <w:style w:type="character" w:customStyle="1" w:styleId="QuoteChar">
    <w:name w:val="Quote Char"/>
    <w:basedOn w:val="DefaultParagraphFont"/>
    <w:link w:val="Quote"/>
    <w:uiPriority w:val="29"/>
    <w:rsid w:val="00B133E2"/>
    <w:rPr>
      <w:i/>
      <w:iCs/>
      <w:color w:val="404040" w:themeColor="text1" w:themeTint="BF"/>
    </w:rPr>
  </w:style>
  <w:style w:type="paragraph" w:styleId="ListParagraph">
    <w:name w:val="List Paragraph"/>
    <w:basedOn w:val="Normal"/>
    <w:uiPriority w:val="34"/>
    <w:qFormat/>
    <w:rsid w:val="00B133E2"/>
    <w:pPr>
      <w:ind w:left="720"/>
      <w:contextualSpacing/>
    </w:pPr>
  </w:style>
  <w:style w:type="character" w:styleId="IntenseEmphasis">
    <w:name w:val="Intense Emphasis"/>
    <w:basedOn w:val="DefaultParagraphFont"/>
    <w:uiPriority w:val="21"/>
    <w:qFormat/>
    <w:rsid w:val="00B133E2"/>
    <w:rPr>
      <w:i/>
      <w:iCs/>
      <w:color w:val="2F5496" w:themeColor="accent1" w:themeShade="BF"/>
    </w:rPr>
  </w:style>
  <w:style w:type="paragraph" w:styleId="IntenseQuote">
    <w:name w:val="Intense Quote"/>
    <w:basedOn w:val="Normal"/>
    <w:next w:val="Normal"/>
    <w:link w:val="IntenseQuoteChar"/>
    <w:uiPriority w:val="30"/>
    <w:qFormat/>
    <w:rsid w:val="00B13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3E2"/>
    <w:rPr>
      <w:i/>
      <w:iCs/>
      <w:color w:val="2F5496" w:themeColor="accent1" w:themeShade="BF"/>
    </w:rPr>
  </w:style>
  <w:style w:type="character" w:styleId="IntenseReference">
    <w:name w:val="Intense Reference"/>
    <w:basedOn w:val="DefaultParagraphFont"/>
    <w:uiPriority w:val="32"/>
    <w:qFormat/>
    <w:rsid w:val="00B133E2"/>
    <w:rPr>
      <w:b/>
      <w:bCs/>
      <w:smallCaps/>
      <w:color w:val="2F5496" w:themeColor="accent1" w:themeShade="BF"/>
      <w:spacing w:val="5"/>
    </w:rPr>
  </w:style>
  <w:style w:type="character" w:styleId="Hyperlink">
    <w:name w:val="Hyperlink"/>
    <w:basedOn w:val="DefaultParagraphFont"/>
    <w:uiPriority w:val="99"/>
    <w:unhideWhenUsed/>
    <w:rsid w:val="00407A4A"/>
    <w:rPr>
      <w:color w:val="0563C1" w:themeColor="hyperlink"/>
      <w:u w:val="single"/>
    </w:rPr>
  </w:style>
  <w:style w:type="character" w:styleId="UnresolvedMention">
    <w:name w:val="Unresolved Mention"/>
    <w:basedOn w:val="DefaultParagraphFont"/>
    <w:uiPriority w:val="99"/>
    <w:semiHidden/>
    <w:unhideWhenUsed/>
    <w:rsid w:val="00407A4A"/>
    <w:rPr>
      <w:color w:val="605E5C"/>
      <w:shd w:val="clear" w:color="auto" w:fill="E1DFDD"/>
    </w:rPr>
  </w:style>
  <w:style w:type="paragraph" w:styleId="Caption">
    <w:name w:val="caption"/>
    <w:basedOn w:val="Normal"/>
    <w:next w:val="Normal"/>
    <w:uiPriority w:val="35"/>
    <w:unhideWhenUsed/>
    <w:qFormat/>
    <w:rsid w:val="00407A4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21871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document/11169754" TargetMode="External"/><Relationship Id="rId3" Type="http://schemas.openxmlformats.org/officeDocument/2006/relationships/styles" Target="styles.xml"/><Relationship Id="rId7" Type="http://schemas.openxmlformats.org/officeDocument/2006/relationships/hyperlink" Target="https://www.exchangerates.org.uk/" TargetMode="External"/><Relationship Id="rId12" Type="http://schemas.openxmlformats.org/officeDocument/2006/relationships/hyperlink" Target="https://data.mendeley.com/datasets/s54n4tyyz4/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2013dollars.com/" TargetMode="External"/><Relationship Id="rId11" Type="http://schemas.openxmlformats.org/officeDocument/2006/relationships/hyperlink" Target="https://www.irena.org/Publications/2024/Sep/Renewable-Power-Generation-Costs-in-202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rena.sharepoint.com/:x:/s/statistics-public/EadRMwuKf9RKuyr5aMiulQ0BW-yR_gSPJ--YgRa15kNeRg?e=m27gCS" TargetMode="External"/><Relationship Id="rId4" Type="http://schemas.openxmlformats.org/officeDocument/2006/relationships/settings" Target="settings.xml"/><Relationship Id="rId9" Type="http://schemas.openxmlformats.org/officeDocument/2006/relationships/hyperlink" Target="https://github.com/Hasib9025/Subsidy-Proxy---LCOE-of-Renewables-Annual-Average-Electricity-Price-2010-2023-for-15-Countries-/blob/main/Day_Ahead_Price_Avrg_Calc_USA.ipyn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F7BF-9DED-4643-B151-1A813ABA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sib</dc:creator>
  <cp:keywords/>
  <dc:description/>
  <cp:lastModifiedBy>HA sib</cp:lastModifiedBy>
  <cp:revision>1</cp:revision>
  <dcterms:created xsi:type="dcterms:W3CDTF">2026-03-06T06:30:00Z</dcterms:created>
  <dcterms:modified xsi:type="dcterms:W3CDTF">2026-03-06T08:25:00Z</dcterms:modified>
</cp:coreProperties>
</file>