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K-Maps</w:t>
      </w:r>
    </w:p>
    <w:p>
      <w:pPr>
        <w:spacing w:before="600" w:after="160"/>
        <w:jc w:val="center"/>
      </w:pPr>
      <w:r>
        <w:rPr>
          <w:b/>
          <w:color w:val="1F4E79"/>
          <w:sz w:val="48"/>
        </w:rPr>
        <w:t>KM-Quran Philosophy and Doctrine</w:t>
      </w:r>
    </w:p>
    <w:p>
      <w:pPr>
        <w:spacing w:after="400"/>
        <w:jc w:val="center"/>
      </w:pPr>
      <w:r>
        <w:rPr>
          <w:i/>
          <w:color w:val="5A5A5A"/>
          <w:sz w:val="24"/>
        </w:rPr>
        <w:t>Surah-first analytical doctrine, internal worldview architecture, reception history, and projection rules</w:t>
      </w:r>
    </w:p>
    <w:tbl>
      <w:tblPr>
        <w:tblW w:type="auto" w:w="0"/>
        <w:jc w:val="center"/>
        <w:tblLayout w:type="fixed"/>
        <w:tblLook w:firstColumn="1" w:firstRow="1" w:lastColumn="0" w:lastRow="0" w:noHBand="0" w:noVBand="1" w:val="04A0"/>
      </w:tblPr>
      <w:tblGrid>
        <w:gridCol w:w="4762"/>
        <w:gridCol w:w="4762"/>
      </w:tblGrid>
      <w:tr>
        <w:tc>
          <w:tcPr>
            <w:tcW w:type="dxa" w:w="2381"/>
            <w:vAlign w:val="center"/>
            <w:tcMar>
              <w:top w:w="120" w:type="dxa"/>
              <w:start w:w="150" w:type="dxa"/>
              <w:bottom w:w="120" w:type="dxa"/>
              <w:end w:w="150" w:type="dxa"/>
            </w:tcMar>
            <w:shd w:fill="EAF1FB"/>
          </w:tcPr>
          <w:p>
            <w:r>
              <w:rPr>
                <w:sz w:val="20"/>
              </w:rPr>
              <w:t>Prepared for</w:t>
            </w:r>
          </w:p>
        </w:tc>
        <w:tc>
          <w:tcPr>
            <w:tcW w:type="dxa" w:w="5556"/>
            <w:vAlign w:val="center"/>
            <w:tcMar>
              <w:top w:w="120" w:type="dxa"/>
              <w:start w:w="150" w:type="dxa"/>
              <w:bottom w:w="120" w:type="dxa"/>
              <w:end w:w="150" w:type="dxa"/>
            </w:tcMar>
            <w:shd w:fill="F9FBFE"/>
          </w:tcPr>
          <w:p>
            <w:r>
              <w:rPr>
                <w:sz w:val="20"/>
              </w:rPr>
              <w:t>K-Maps final design baseline</w:t>
            </w:r>
          </w:p>
        </w:tc>
      </w:tr>
      <w:tr>
        <w:tc>
          <w:tcPr>
            <w:tcW w:type="dxa" w:w="2381"/>
            <w:vAlign w:val="center"/>
            <w:tcMar>
              <w:top w:w="120" w:type="dxa"/>
              <w:start w:w="150" w:type="dxa"/>
              <w:bottom w:w="120" w:type="dxa"/>
              <w:end w:w="150" w:type="dxa"/>
            </w:tcMar>
            <w:shd w:fill="EAF1FB"/>
          </w:tcPr>
          <w:p>
            <w:r>
              <w:rPr>
                <w:sz w:val="20"/>
              </w:rPr>
              <w:t>Document</w:t>
            </w:r>
          </w:p>
        </w:tc>
        <w:tc>
          <w:tcPr>
            <w:tcW w:type="dxa" w:w="5556"/>
            <w:vAlign w:val="center"/>
            <w:tcMar>
              <w:top w:w="120" w:type="dxa"/>
              <w:start w:w="150" w:type="dxa"/>
              <w:bottom w:w="120" w:type="dxa"/>
              <w:end w:w="150" w:type="dxa"/>
            </w:tcMar>
          </w:tcPr>
          <w:p>
            <w:r>
              <w:rPr>
                <w:sz w:val="20"/>
              </w:rPr>
              <w:t>Final QR-only philosophy document</w:t>
            </w:r>
          </w:p>
        </w:tc>
      </w:tr>
      <w:tr>
        <w:tc>
          <w:tcPr>
            <w:tcW w:type="dxa" w:w="2381"/>
            <w:vAlign w:val="center"/>
            <w:tcMar>
              <w:top w:w="120" w:type="dxa"/>
              <w:start w:w="150" w:type="dxa"/>
              <w:bottom w:w="120" w:type="dxa"/>
              <w:end w:w="150" w:type="dxa"/>
            </w:tcMar>
            <w:shd w:fill="EAF1FB"/>
          </w:tcPr>
          <w:p>
            <w:r>
              <w:rPr>
                <w:sz w:val="20"/>
              </w:rPr>
              <w:t>Date</w:t>
            </w:r>
          </w:p>
        </w:tc>
        <w:tc>
          <w:tcPr>
            <w:tcW w:type="dxa" w:w="5556"/>
            <w:vAlign w:val="center"/>
            <w:tcMar>
              <w:top w:w="120" w:type="dxa"/>
              <w:start w:w="150" w:type="dxa"/>
              <w:bottom w:w="120" w:type="dxa"/>
              <w:end w:w="150" w:type="dxa"/>
            </w:tcMar>
            <w:shd w:fill="F9FBFE"/>
          </w:tcPr>
          <w:p>
            <w:r>
              <w:rPr>
                <w:sz w:val="20"/>
              </w:rPr>
              <w:t>18 April 2026</w:t>
            </w:r>
          </w:p>
        </w:tc>
      </w:tr>
      <w:tr>
        <w:tc>
          <w:tcPr>
            <w:tcW w:type="dxa" w:w="2381"/>
            <w:vAlign w:val="center"/>
            <w:tcMar>
              <w:top w:w="120" w:type="dxa"/>
              <w:start w:w="150" w:type="dxa"/>
              <w:bottom w:w="120" w:type="dxa"/>
              <w:end w:w="150" w:type="dxa"/>
            </w:tcMar>
            <w:shd w:fill="EAF1FB"/>
          </w:tcPr>
          <w:p>
            <w:r>
              <w:rPr>
                <w:sz w:val="20"/>
              </w:rPr>
              <w:t>Scope</w:t>
            </w:r>
          </w:p>
        </w:tc>
        <w:tc>
          <w:tcPr>
            <w:tcW w:type="dxa" w:w="5556"/>
            <w:vAlign w:val="center"/>
            <w:tcMar>
              <w:top w:w="120" w:type="dxa"/>
              <w:start w:w="150" w:type="dxa"/>
              <w:bottom w:w="120" w:type="dxa"/>
              <w:end w:w="150" w:type="dxa"/>
            </w:tcMar>
          </w:tcPr>
          <w:p>
            <w:r>
              <w:rPr>
                <w:sz w:val="20"/>
              </w:rPr>
              <w:t>km_quran only / philosophy, doctrine, schema direction, and migration posture</w:t>
            </w:r>
          </w:p>
        </w:tc>
      </w:tr>
    </w:tbl>
    <w:p/>
    <w:p>
      <w:pPr>
        <w:jc w:val="center"/>
      </w:pPr>
      <w:r>
        <w:rPr>
          <w:color w:val="222222"/>
          <w:sz w:val="21"/>
        </w:rPr>
        <w:t>This document consolidates the user's QR-only direction: surah-first doctrine, canonical Qur'anic ownership, internal worldview/discourse modeling, structure science, scholar-paradigm reception, and diagram-ready projection rules.</w:t>
      </w:r>
    </w:p>
    <w:p>
      <w:r>
        <w:br w:type="page"/>
      </w:r>
    </w:p>
    <w:tbl>
      <w:tblPr>
        <w:tblW w:type="auto" w:w="0"/>
        <w:jc w:val="center"/>
        <w:tblLayout w:type="autofit"/>
        <w:tblLook w:firstColumn="1" w:firstRow="1" w:lastColumn="0" w:lastRow="0" w:noHBand="0" w:noVBand="1" w:val="04A0"/>
      </w:tblPr>
      <w:tblGrid>
        <w:gridCol w:w="9525"/>
      </w:tblGrid>
      <w:tr>
        <w:tc>
          <w:tcPr>
            <w:tcW w:type="dxa" w:w="9525"/>
            <w:shd w:fill="EEF4FB"/>
            <w:tcMar>
              <w:top w:w="140" w:type="dxa"/>
              <w:start w:w="180" w:type="dxa"/>
              <w:bottom w:w="140" w:type="dxa"/>
              <w:end w:w="180" w:type="dxa"/>
            </w:tcMar>
          </w:tcPr>
          <w:p>
            <w:r>
              <w:rPr>
                <w:b/>
                <w:color w:val="1F4E79"/>
                <w:sz w:val="21"/>
              </w:rPr>
              <w:t>Core thesis</w:t>
              <w:br/>
            </w:r>
            <w:r>
              <w:rPr>
                <w:color w:val="222222"/>
                <w:sz w:val="20"/>
              </w:rPr>
              <w:t>km_quran is the canonical surah-first analytical engine of K-Maps. The surah is the atomic organism of meaning, and ayah, sentence, clause, motif, scholar reading, argument, and diagram all exist as internal scopes of that organism.</w:t>
            </w:r>
          </w:p>
        </w:tc>
      </w:tr>
    </w:tbl>
    <w:p/>
    <w:p>
      <w:pPr>
        <w:spacing w:after="60"/>
      </w:pPr>
      <w:r>
        <w:rPr>
          <w:b/>
          <w:color w:val="1F4E79"/>
        </w:rPr>
        <w:t>Document map</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134"/>
            <w:vAlign w:val="center"/>
            <w:shd w:fill="DCE6F1"/>
            <w:tcMar>
              <w:top w:w="120" w:type="dxa"/>
              <w:start w:w="150" w:type="dxa"/>
              <w:bottom w:w="120" w:type="dxa"/>
              <w:end w:w="150" w:type="dxa"/>
            </w:tcMar>
          </w:tcPr>
          <w:p>
            <w:pPr>
              <w:jc w:val="center"/>
            </w:pPr>
            <w:r>
              <w:rPr>
                <w:b/>
                <w:color w:val="1F4E79"/>
                <w:sz w:val="19"/>
              </w:rPr>
              <w:t>Section</w:t>
            </w:r>
          </w:p>
        </w:tc>
        <w:tc>
          <w:tcPr>
            <w:tcW w:type="dxa" w:w="3402"/>
            <w:vAlign w:val="center"/>
            <w:shd w:fill="DCE6F1"/>
            <w:tcMar>
              <w:top w:w="120" w:type="dxa"/>
              <w:start w:w="150" w:type="dxa"/>
              <w:bottom w:w="120" w:type="dxa"/>
              <w:end w:w="150" w:type="dxa"/>
            </w:tcMar>
          </w:tcPr>
          <w:p>
            <w:pPr>
              <w:jc w:val="center"/>
            </w:pPr>
            <w:r>
              <w:rPr>
                <w:b/>
                <w:color w:val="1F4E79"/>
                <w:sz w:val="19"/>
              </w:rPr>
              <w:t>Title</w:t>
            </w:r>
          </w:p>
        </w:tc>
        <w:tc>
          <w:tcPr>
            <w:tcW w:type="dxa" w:w="4649"/>
            <w:vAlign w:val="center"/>
            <w:shd w:fill="DCE6F1"/>
            <w:tcMar>
              <w:top w:w="120" w:type="dxa"/>
              <w:start w:w="150" w:type="dxa"/>
              <w:bottom w:w="120" w:type="dxa"/>
              <w:end w:w="150" w:type="dxa"/>
            </w:tcMar>
          </w:tcPr>
          <w:p>
            <w:pPr>
              <w:jc w:val="center"/>
            </w:pPr>
            <w:r>
              <w:rPr>
                <w:b/>
                <w:color w:val="1F4E79"/>
                <w:sz w:val="19"/>
              </w:rPr>
              <w:t>Purpose</w:t>
            </w:r>
          </w:p>
        </w:tc>
      </w:tr>
      <w:tr>
        <w:tc>
          <w:tcPr>
            <w:tcW w:type="dxa" w:w="1134"/>
            <w:vAlign w:val="center"/>
            <w:tcMar>
              <w:top w:w="110" w:type="dxa"/>
              <w:start w:w="130" w:type="dxa"/>
              <w:bottom w:w="110" w:type="dxa"/>
              <w:end w:w="130" w:type="dxa"/>
            </w:tcMar>
            <w:shd w:fill="F9FBFE"/>
          </w:tcPr>
          <w:p>
            <w:pPr>
              <w:jc w:val="center"/>
            </w:pPr>
            <w:r>
              <w:rPr>
                <w:sz w:val="19"/>
              </w:rPr>
              <w:t>1</w:t>
            </w:r>
          </w:p>
        </w:tc>
        <w:tc>
          <w:tcPr>
            <w:tcW w:type="dxa" w:w="3402"/>
            <w:vAlign w:val="center"/>
            <w:tcMar>
              <w:top w:w="110" w:type="dxa"/>
              <w:start w:w="130" w:type="dxa"/>
              <w:bottom w:w="110" w:type="dxa"/>
              <w:end w:w="130" w:type="dxa"/>
            </w:tcMar>
            <w:shd w:fill="F9FBFE"/>
          </w:tcPr>
          <w:p>
            <w:pPr>
              <w:jc w:val="left"/>
            </w:pPr>
            <w:r>
              <w:rPr>
                <w:sz w:val="19"/>
              </w:rPr>
              <w:t>Executive position</w:t>
            </w:r>
          </w:p>
        </w:tc>
        <w:tc>
          <w:tcPr>
            <w:tcW w:type="dxa" w:w="4649"/>
            <w:vAlign w:val="center"/>
            <w:tcMar>
              <w:top w:w="110" w:type="dxa"/>
              <w:start w:w="130" w:type="dxa"/>
              <w:bottom w:w="110" w:type="dxa"/>
              <w:end w:w="130" w:type="dxa"/>
            </w:tcMar>
            <w:shd w:fill="F9FBFE"/>
          </w:tcPr>
          <w:p>
            <w:pPr>
              <w:jc w:val="left"/>
            </w:pPr>
            <w:r>
              <w:rPr>
                <w:sz w:val="19"/>
              </w:rPr>
              <w:t>Defines what km_quran is, what it is not, and why surah-first doctrine governs the entire module.</w:t>
            </w:r>
          </w:p>
        </w:tc>
      </w:tr>
      <w:tr>
        <w:tc>
          <w:tcPr>
            <w:tcW w:type="dxa" w:w="1134"/>
            <w:vAlign w:val="center"/>
            <w:tcMar>
              <w:top w:w="110" w:type="dxa"/>
              <w:start w:w="130" w:type="dxa"/>
              <w:bottom w:w="110" w:type="dxa"/>
              <w:end w:w="130" w:type="dxa"/>
            </w:tcMar>
          </w:tcPr>
          <w:p>
            <w:pPr>
              <w:jc w:val="center"/>
            </w:pPr>
            <w:r>
              <w:rPr>
                <w:sz w:val="19"/>
              </w:rPr>
              <w:t>2</w:t>
            </w:r>
          </w:p>
        </w:tc>
        <w:tc>
          <w:tcPr>
            <w:tcW w:type="dxa" w:w="3402"/>
            <w:vAlign w:val="center"/>
            <w:tcMar>
              <w:top w:w="110" w:type="dxa"/>
              <w:start w:w="130" w:type="dxa"/>
              <w:bottom w:w="110" w:type="dxa"/>
              <w:end w:w="130" w:type="dxa"/>
            </w:tcMar>
          </w:tcPr>
          <w:p>
            <w:pPr>
              <w:jc w:val="left"/>
            </w:pPr>
            <w:r>
              <w:rPr>
                <w:sz w:val="19"/>
              </w:rPr>
              <w:t>Surah as atomic organism</w:t>
            </w:r>
          </w:p>
        </w:tc>
        <w:tc>
          <w:tcPr>
            <w:tcW w:type="dxa" w:w="4649"/>
            <w:vAlign w:val="center"/>
            <w:tcMar>
              <w:top w:w="110" w:type="dxa"/>
              <w:start w:w="130" w:type="dxa"/>
              <w:bottom w:w="110" w:type="dxa"/>
              <w:end w:w="130" w:type="dxa"/>
            </w:tcMar>
          </w:tcPr>
          <w:p>
            <w:pPr>
              <w:jc w:val="left"/>
            </w:pPr>
            <w:r>
              <w:rPr>
                <w:sz w:val="19"/>
              </w:rPr>
              <w:t>Explains the governing analytical principle and the hierarchy of meaning inside QR.</w:t>
            </w:r>
          </w:p>
        </w:tc>
      </w:tr>
      <w:tr>
        <w:tc>
          <w:tcPr>
            <w:tcW w:type="dxa" w:w="1134"/>
            <w:vAlign w:val="center"/>
            <w:tcMar>
              <w:top w:w="110" w:type="dxa"/>
              <w:start w:w="130" w:type="dxa"/>
              <w:bottom w:w="110" w:type="dxa"/>
              <w:end w:w="130" w:type="dxa"/>
            </w:tcMar>
            <w:shd w:fill="F9FBFE"/>
          </w:tcPr>
          <w:p>
            <w:pPr>
              <w:jc w:val="center"/>
            </w:pPr>
            <w:r>
              <w:rPr>
                <w:sz w:val="19"/>
              </w:rPr>
              <w:t>3</w:t>
            </w:r>
          </w:p>
        </w:tc>
        <w:tc>
          <w:tcPr>
            <w:tcW w:type="dxa" w:w="3402"/>
            <w:vAlign w:val="center"/>
            <w:tcMar>
              <w:top w:w="110" w:type="dxa"/>
              <w:start w:w="130" w:type="dxa"/>
              <w:bottom w:w="110" w:type="dxa"/>
              <w:end w:w="130" w:type="dxa"/>
            </w:tcMar>
            <w:shd w:fill="F9FBFE"/>
          </w:tcPr>
          <w:p>
            <w:pPr>
              <w:jc w:val="left"/>
            </w:pPr>
            <w:r>
              <w:rPr>
                <w:sz w:val="19"/>
              </w:rPr>
              <w:t>Internal structure science</w:t>
            </w:r>
          </w:p>
        </w:tc>
        <w:tc>
          <w:tcPr>
            <w:tcW w:type="dxa" w:w="4649"/>
            <w:vAlign w:val="center"/>
            <w:tcMar>
              <w:top w:w="110" w:type="dxa"/>
              <w:start w:w="130" w:type="dxa"/>
              <w:bottom w:w="110" w:type="dxa"/>
              <w:end w:w="130" w:type="dxa"/>
            </w:tcMar>
            <w:shd w:fill="F9FBFE"/>
          </w:tcPr>
          <w:p>
            <w:pPr>
              <w:jc w:val="left"/>
            </w:pPr>
            <w:r>
              <w:rPr>
                <w:sz w:val="19"/>
              </w:rPr>
              <w:t>Defines passages, pivots, motif clusters, symmetry families, rhyme systems, and sentence-level nuance as first-class Qur'anic data.</w:t>
            </w:r>
          </w:p>
        </w:tc>
      </w:tr>
      <w:tr>
        <w:tc>
          <w:tcPr>
            <w:tcW w:type="dxa" w:w="1134"/>
            <w:vAlign w:val="center"/>
            <w:tcMar>
              <w:top w:w="110" w:type="dxa"/>
              <w:start w:w="130" w:type="dxa"/>
              <w:bottom w:w="110" w:type="dxa"/>
              <w:end w:w="130" w:type="dxa"/>
            </w:tcMar>
          </w:tcPr>
          <w:p>
            <w:pPr>
              <w:jc w:val="center"/>
            </w:pPr>
            <w:r>
              <w:rPr>
                <w:sz w:val="19"/>
              </w:rPr>
              <w:t>4</w:t>
            </w:r>
          </w:p>
        </w:tc>
        <w:tc>
          <w:tcPr>
            <w:tcW w:type="dxa" w:w="3402"/>
            <w:vAlign w:val="center"/>
            <w:tcMar>
              <w:top w:w="110" w:type="dxa"/>
              <w:start w:w="130" w:type="dxa"/>
              <w:bottom w:w="110" w:type="dxa"/>
              <w:end w:w="130" w:type="dxa"/>
            </w:tcMar>
          </w:tcPr>
          <w:p>
            <w:pPr>
              <w:jc w:val="left"/>
            </w:pPr>
            <w:r>
              <w:rPr>
                <w:sz w:val="19"/>
              </w:rPr>
              <w:t>Worldview, ontology, and value architecture</w:t>
            </w:r>
          </w:p>
        </w:tc>
        <w:tc>
          <w:tcPr>
            <w:tcW w:type="dxa" w:w="4649"/>
            <w:vAlign w:val="center"/>
            <w:tcMar>
              <w:top w:w="110" w:type="dxa"/>
              <w:start w:w="130" w:type="dxa"/>
              <w:bottom w:w="110" w:type="dxa"/>
              <w:end w:w="130" w:type="dxa"/>
            </w:tcMar>
          </w:tcPr>
          <w:p>
            <w:pPr>
              <w:jc w:val="left"/>
            </w:pPr>
            <w:r>
              <w:rPr>
                <w:sz w:val="19"/>
              </w:rPr>
              <w:t>Explains why Qur'anic worldview remains internal to QR and how it differs from the global worldview engine.</w:t>
            </w:r>
          </w:p>
        </w:tc>
      </w:tr>
      <w:tr>
        <w:tc>
          <w:tcPr>
            <w:tcW w:type="dxa" w:w="1134"/>
            <w:vAlign w:val="center"/>
            <w:tcMar>
              <w:top w:w="110" w:type="dxa"/>
              <w:start w:w="130" w:type="dxa"/>
              <w:bottom w:w="110" w:type="dxa"/>
              <w:end w:w="130" w:type="dxa"/>
            </w:tcMar>
            <w:shd w:fill="F9FBFE"/>
          </w:tcPr>
          <w:p>
            <w:pPr>
              <w:jc w:val="center"/>
            </w:pPr>
            <w:r>
              <w:rPr>
                <w:sz w:val="19"/>
              </w:rPr>
              <w:t>5</w:t>
            </w:r>
          </w:p>
        </w:tc>
        <w:tc>
          <w:tcPr>
            <w:tcW w:type="dxa" w:w="3402"/>
            <w:vAlign w:val="center"/>
            <w:tcMar>
              <w:top w:w="110" w:type="dxa"/>
              <w:start w:w="130" w:type="dxa"/>
              <w:bottom w:w="110" w:type="dxa"/>
              <w:end w:w="130" w:type="dxa"/>
            </w:tcMar>
            <w:shd w:fill="F9FBFE"/>
          </w:tcPr>
          <w:p>
            <w:pPr>
              <w:jc w:val="left"/>
            </w:pPr>
            <w:r>
              <w:rPr>
                <w:sz w:val="19"/>
              </w:rPr>
              <w:t>Scholarship, paradigms, and reception</w:t>
            </w:r>
          </w:p>
        </w:tc>
        <w:tc>
          <w:tcPr>
            <w:tcW w:type="dxa" w:w="4649"/>
            <w:vAlign w:val="center"/>
            <w:tcMar>
              <w:top w:w="110" w:type="dxa"/>
              <w:start w:w="130" w:type="dxa"/>
              <w:bottom w:w="110" w:type="dxa"/>
              <w:end w:w="130" w:type="dxa"/>
            </w:tcMar>
            <w:shd w:fill="F9FBFE"/>
          </w:tcPr>
          <w:p>
            <w:pPr>
              <w:jc w:val="left"/>
            </w:pPr>
            <w:r>
              <w:rPr>
                <w:sz w:val="19"/>
              </w:rPr>
              <w:t>Models scholars, works, paradigms, orientalist and revisionist frames, and reception history as canonical QR concerns.</w:t>
            </w:r>
          </w:p>
        </w:tc>
      </w:tr>
      <w:tr>
        <w:tc>
          <w:tcPr>
            <w:tcW w:type="dxa" w:w="1134"/>
            <w:vAlign w:val="center"/>
            <w:tcMar>
              <w:top w:w="110" w:type="dxa"/>
              <w:start w:w="130" w:type="dxa"/>
              <w:bottom w:w="110" w:type="dxa"/>
              <w:end w:w="130" w:type="dxa"/>
            </w:tcMar>
          </w:tcPr>
          <w:p>
            <w:pPr>
              <w:jc w:val="center"/>
            </w:pPr>
            <w:r>
              <w:rPr>
                <w:sz w:val="19"/>
              </w:rPr>
              <w:t>6</w:t>
            </w:r>
          </w:p>
        </w:tc>
        <w:tc>
          <w:tcPr>
            <w:tcW w:type="dxa" w:w="3402"/>
            <w:vAlign w:val="center"/>
            <w:tcMar>
              <w:top w:w="110" w:type="dxa"/>
              <w:start w:w="130" w:type="dxa"/>
              <w:bottom w:w="110" w:type="dxa"/>
              <w:end w:w="130" w:type="dxa"/>
            </w:tcMar>
          </w:tcPr>
          <w:p>
            <w:pPr>
              <w:jc w:val="left"/>
            </w:pPr>
            <w:r>
              <w:rPr>
                <w:sz w:val="19"/>
              </w:rPr>
              <w:t>Claims, arguments, evidence, and debate</w:t>
            </w:r>
          </w:p>
        </w:tc>
        <w:tc>
          <w:tcPr>
            <w:tcW w:type="dxa" w:w="4649"/>
            <w:vAlign w:val="center"/>
            <w:tcMar>
              <w:top w:w="110" w:type="dxa"/>
              <w:start w:w="130" w:type="dxa"/>
              <w:bottom w:w="110" w:type="dxa"/>
              <w:end w:w="130" w:type="dxa"/>
            </w:tcMar>
          </w:tcPr>
          <w:p>
            <w:pPr>
              <w:jc w:val="left"/>
            </w:pPr>
            <w:r>
              <w:rPr>
                <w:sz w:val="19"/>
              </w:rPr>
              <w:t>Formalizes Qur'anic reasoning and evidence-weighted comparison.</w:t>
            </w:r>
          </w:p>
        </w:tc>
      </w:tr>
      <w:tr>
        <w:tc>
          <w:tcPr>
            <w:tcW w:type="dxa" w:w="1134"/>
            <w:vAlign w:val="center"/>
            <w:tcMar>
              <w:top w:w="110" w:type="dxa"/>
              <w:start w:w="130" w:type="dxa"/>
              <w:bottom w:w="110" w:type="dxa"/>
              <w:end w:w="130" w:type="dxa"/>
            </w:tcMar>
            <w:shd w:fill="F9FBFE"/>
          </w:tcPr>
          <w:p>
            <w:pPr>
              <w:jc w:val="center"/>
            </w:pPr>
            <w:r>
              <w:rPr>
                <w:sz w:val="19"/>
              </w:rPr>
              <w:t>7</w:t>
            </w:r>
          </w:p>
        </w:tc>
        <w:tc>
          <w:tcPr>
            <w:tcW w:type="dxa" w:w="3402"/>
            <w:vAlign w:val="center"/>
            <w:tcMar>
              <w:top w:w="110" w:type="dxa"/>
              <w:start w:w="130" w:type="dxa"/>
              <w:bottom w:w="110" w:type="dxa"/>
              <w:end w:w="130" w:type="dxa"/>
            </w:tcMar>
            <w:shd w:fill="F9FBFE"/>
          </w:tcPr>
          <w:p>
            <w:pPr>
              <w:jc w:val="left"/>
            </w:pPr>
            <w:r>
              <w:rPr>
                <w:sz w:val="19"/>
              </w:rPr>
              <w:t>Diagram and graph projection doctrine</w:t>
            </w:r>
          </w:p>
        </w:tc>
        <w:tc>
          <w:tcPr>
            <w:tcW w:type="dxa" w:w="4649"/>
            <w:vAlign w:val="center"/>
            <w:tcMar>
              <w:top w:w="110" w:type="dxa"/>
              <w:start w:w="130" w:type="dxa"/>
              <w:bottom w:w="110" w:type="dxa"/>
              <w:end w:w="130" w:type="dxa"/>
            </w:tcMar>
            <w:shd w:fill="F9FBFE"/>
          </w:tcPr>
          <w:p>
            <w:pPr>
              <w:jc w:val="left"/>
            </w:pPr>
            <w:r>
              <w:rPr>
                <w:sz w:val="19"/>
              </w:rPr>
              <w:t>Separates canonical meaning from D3 projections while preserving rich navigability.</w:t>
            </w:r>
          </w:p>
        </w:tc>
      </w:tr>
      <w:tr>
        <w:tc>
          <w:tcPr>
            <w:tcW w:type="dxa" w:w="1134"/>
            <w:vAlign w:val="center"/>
            <w:tcMar>
              <w:top w:w="110" w:type="dxa"/>
              <w:start w:w="130" w:type="dxa"/>
              <w:bottom w:w="110" w:type="dxa"/>
              <w:end w:w="130" w:type="dxa"/>
            </w:tcMar>
          </w:tcPr>
          <w:p>
            <w:pPr>
              <w:jc w:val="center"/>
            </w:pPr>
            <w:r>
              <w:rPr>
                <w:sz w:val="19"/>
              </w:rPr>
              <w:t>8</w:t>
            </w:r>
          </w:p>
        </w:tc>
        <w:tc>
          <w:tcPr>
            <w:tcW w:type="dxa" w:w="3402"/>
            <w:vAlign w:val="center"/>
            <w:tcMar>
              <w:top w:w="110" w:type="dxa"/>
              <w:start w:w="130" w:type="dxa"/>
              <w:bottom w:w="110" w:type="dxa"/>
              <w:end w:w="130" w:type="dxa"/>
            </w:tcMar>
          </w:tcPr>
          <w:p>
            <w:pPr>
              <w:jc w:val="left"/>
            </w:pPr>
            <w:r>
              <w:rPr>
                <w:sz w:val="19"/>
              </w:rPr>
              <w:t>Boundaries, anti-patterns, and next build priorities</w:t>
            </w:r>
          </w:p>
        </w:tc>
        <w:tc>
          <w:tcPr>
            <w:tcW w:type="dxa" w:w="4649"/>
            <w:vAlign w:val="center"/>
            <w:tcMar>
              <w:top w:w="110" w:type="dxa"/>
              <w:start w:w="130" w:type="dxa"/>
              <w:bottom w:w="110" w:type="dxa"/>
              <w:end w:w="130" w:type="dxa"/>
            </w:tcMar>
          </w:tcPr>
          <w:p>
            <w:pPr>
              <w:jc w:val="left"/>
            </w:pPr>
            <w:r>
              <w:rPr>
                <w:sz w:val="19"/>
              </w:rPr>
              <w:t>Freezes module ownership and identifies the highest-value canonical families to add next.</w:t>
            </w:r>
          </w:p>
        </w:tc>
      </w:tr>
      <w:tr>
        <w:tc>
          <w:tcPr>
            <w:tcW w:type="dxa" w:w="3175"/>
          </w:tcPr>
          <w:p>
            <w:r>
              <w:t>9</w:t>
            </w:r>
          </w:p>
        </w:tc>
        <w:tc>
          <w:tcPr>
            <w:tcW w:type="dxa" w:w="3175"/>
          </w:tcPr>
          <w:p>
            <w:r>
              <w:t>Canonical sentence-structure doctrine</w:t>
            </w:r>
          </w:p>
        </w:tc>
        <w:tc>
          <w:tcPr>
            <w:tcW w:type="dxa" w:w="3175"/>
          </w:tcPr>
          <w:p>
            <w:r>
              <w:t>Freezes the final sentence-analysis ontology, QR/LX ownership split, and the rules that keep syntax subordinate to the surah organism.</w:t>
            </w:r>
          </w:p>
        </w:tc>
      </w:tr>
      <w:tr>
        <w:tc>
          <w:tcPr>
            <w:tcW w:type="dxa" w:w="3175"/>
          </w:tcPr>
          <w:p>
            <w:r>
              <w:rPr>
                <w:sz w:val="20"/>
              </w:rPr>
              <w:t>10</w:t>
            </w:r>
          </w:p>
        </w:tc>
        <w:tc>
          <w:tcPr>
            <w:tcW w:type="dxa" w:w="3175"/>
          </w:tcPr>
          <w:p>
            <w:r>
              <w:rPr>
                <w:sz w:val="20"/>
              </w:rPr>
              <w:t>Surah, passage, and sentence document doctrine</w:t>
            </w:r>
          </w:p>
        </w:tc>
        <w:tc>
          <w:tcPr>
            <w:tcW w:type="dxa" w:w="3175"/>
          </w:tcPr>
          <w:p>
            <w:r>
              <w:rPr>
                <w:sz w:val="20"/>
              </w:rPr>
              <w:t>Defines the authored document hierarchy and the broad generic analysis surfaces through which QR can render structural, literary, human, psychological, historical, and diagrammatic views.</w:t>
            </w:r>
          </w:p>
        </w:tc>
      </w:tr>
      <w:tr>
        <w:tc>
          <w:tcPr>
            <w:tcW w:type="dxa" w:w="3175"/>
          </w:tcPr>
          <w:p>
            <w:r>
              <w:t>11</w:t>
            </w:r>
          </w:p>
        </w:tc>
        <w:tc>
          <w:tcPr>
            <w:tcW w:type="dxa" w:w="3175"/>
          </w:tcPr>
          <w:p>
            <w:r>
              <w:t>Final simplification and paradigm-complete doctrine</w:t>
            </w:r>
          </w:p>
        </w:tc>
        <w:tc>
          <w:tcPr>
            <w:tcW w:type="dxa" w:w="3175"/>
          </w:tcPr>
          <w:p>
            <w:r>
              <w:t>Explains how the Qur’an DB stays non-overengineered while remaining capable of classical, manuscript, epigraphic, archaeological, radiocarbon, and late-antique comparative paradigms.</w:t>
            </w:r>
          </w:p>
        </w:tc>
      </w:tr>
      <w:tr>
        <w:tc>
          <w:tcPr>
            <w:tcW w:type="dxa" w:w="3175"/>
          </w:tcPr>
          <w:p>
            <w:r>
              <w:t>13</w:t>
            </w:r>
          </w:p>
        </w:tc>
        <w:tc>
          <w:tcPr>
            <w:tcW w:type="dxa" w:w="3175"/>
          </w:tcPr>
          <w:p>
            <w:r>
              <w:t>Outer historical, textual, and civilizational horizon</w:t>
            </w:r>
          </w:p>
        </w:tc>
        <w:tc>
          <w:tcPr>
            <w:tcW w:type="dxa" w:w="3175"/>
          </w:tcPr>
          <w:p>
            <w:r>
              <w:t>Adds the doctrinal outer horizon for late antiquity, inter-scriptural relations, material witnesses, preservation discourse, and modern academic debate.</w:t>
            </w:r>
          </w:p>
        </w:tc>
      </w:tr>
    </w:tbl>
    <w:p/>
    <w:p>
      <w:pPr>
        <w:pStyle w:val="Heading1"/>
      </w:pPr>
      <w:r>
        <w:t>1. Executive position</w:t>
      </w:r>
    </w:p>
    <w:p>
      <w:r>
        <w:t>km_quran is not merely the place where corpus tables land. It is the Qur'an-native analytical center of the platform. It owns corpus rows, surah profiles, canonical passages, literary architecture, meaning profiles, tafsir excerpts, paradigms, scholar readings, claims, evidences, nuances, and cross-surah relations.</w:t>
      </w:r>
    </w:p>
    <w:p>
      <w:r>
        <w:t>Its purpose is to model the Qur'an as a coherent organism of revelation, not as a loose bundle of verses, documents, or graph notes.</w:t>
      </w:r>
    </w:p>
    <w:p>
      <w:pPr>
        <w:pStyle w:val="ListBullet"/>
        <w:spacing w:after="40"/>
        <w:ind w:left="0"/>
      </w:pPr>
      <w:r>
        <w:rPr>
          <w:sz w:val="20"/>
        </w:rPr>
        <w:t>It is not a generic document store.</w:t>
      </w:r>
    </w:p>
    <w:p>
      <w:pPr>
        <w:pStyle w:val="ListBullet"/>
        <w:spacing w:after="40"/>
        <w:ind w:left="0"/>
      </w:pPr>
      <w:r>
        <w:rPr>
          <w:sz w:val="20"/>
        </w:rPr>
        <w:t>It is not a planner execution store.</w:t>
      </w:r>
    </w:p>
    <w:p>
      <w:pPr>
        <w:pStyle w:val="ListBullet"/>
        <w:spacing w:after="40"/>
        <w:ind w:left="0"/>
      </w:pPr>
      <w:r>
        <w:rPr>
          <w:sz w:val="20"/>
        </w:rPr>
        <w:t>It is not a generic worldview graph substitute.</w:t>
      </w:r>
    </w:p>
    <w:p>
      <w:pPr>
        <w:pStyle w:val="ListBullet"/>
        <w:spacing w:after="40"/>
        <w:ind w:left="0"/>
      </w:pPr>
      <w:r>
        <w:rPr>
          <w:sz w:val="20"/>
        </w:rPr>
        <w:t>It is not an Arabic pedagogy engine.</w:t>
      </w:r>
    </w:p>
    <w:p>
      <w:pPr>
        <w:pStyle w:val="ListBullet"/>
        <w:spacing w:after="40"/>
        <w:ind w:left="0"/>
      </w:pPr>
      <w:r>
        <w:rPr>
          <w:sz w:val="20"/>
        </w:rPr>
        <w:t>It is not the owner of universal roots, lemmas, or morphology.</w:t>
      </w:r>
    </w:p>
    <w:tbl>
      <w:tblPr>
        <w:tblW w:type="auto" w:w="0"/>
        <w:jc w:val="center"/>
        <w:tblLayout w:type="autofit"/>
        <w:tblLook w:firstColumn="1" w:firstRow="1" w:lastColumn="0" w:lastRow="0" w:noHBand="0" w:noVBand="1" w:val="04A0"/>
      </w:tblPr>
      <w:tblGrid>
        <w:gridCol w:w="9525"/>
      </w:tblGrid>
      <w:tr>
        <w:tc>
          <w:tcPr>
            <w:tcW w:type="dxa" w:w="9525"/>
            <w:shd w:fill="F7F9FC"/>
            <w:tcMar>
              <w:top w:w="140" w:type="dxa"/>
              <w:start w:w="180" w:type="dxa"/>
              <w:bottom w:w="140" w:type="dxa"/>
              <w:end w:w="180" w:type="dxa"/>
            </w:tcMar>
          </w:tcPr>
          <w:p>
            <w:r>
              <w:rPr>
                <w:b/>
                <w:color w:val="1F4E79"/>
                <w:sz w:val="21"/>
              </w:rPr>
              <w:t>Ownership rule</w:t>
              <w:br/>
            </w:r>
            <w:r>
              <w:rPr>
                <w:color w:val="222222"/>
                <w:sz w:val="20"/>
              </w:rPr>
              <w:t>Canonical Qur'anic meaning stays in QR. Shared content remains in CM, shared lexical truth remains in LX, mutable execution remains in PL, and broad comparative graphing remains in WV. QR may publish, bridge, and project outward, but it must not surrender semantic ownership by convenience.</w:t>
            </w:r>
          </w:p>
        </w:tc>
      </w:tr>
    </w:tbl>
    <w:p/>
    <w:p>
      <w:pPr>
        <w:pStyle w:val="Heading2"/>
      </w:pPr>
      <w:r>
        <w:t>What km_quran must model</w:t>
      </w:r>
    </w:p>
    <w:tbl>
      <w:tblPr>
        <w:tblStyle w:val="TableGrid"/>
        <w:tblW w:type="auto" w:w="0"/>
        <w:jc w:val="center"/>
        <w:tblLayout w:type="fixed"/>
        <w:tblLook w:firstColumn="1" w:firstRow="1" w:lastColumn="0" w:lastRow="0" w:noHBand="0" w:noVBand="1" w:val="04A0"/>
      </w:tblPr>
      <w:tblGrid>
        <w:gridCol w:w="4762"/>
        <w:gridCol w:w="4762"/>
      </w:tblGrid>
      <w:tr>
        <w:trPr>
          <w:tblHeader w:val="true"/>
        </w:trPr>
        <w:tc>
          <w:tcPr>
            <w:tcW w:type="dxa" w:w="2268"/>
            <w:vAlign w:val="center"/>
            <w:shd w:fill="DCE6F1"/>
            <w:tcMar>
              <w:top w:w="120" w:type="dxa"/>
              <w:start w:w="150" w:type="dxa"/>
              <w:bottom w:w="120" w:type="dxa"/>
              <w:end w:w="150" w:type="dxa"/>
            </w:tcMar>
          </w:tcPr>
          <w:p>
            <w:pPr>
              <w:jc w:val="center"/>
            </w:pPr>
            <w:r>
              <w:rPr>
                <w:b/>
                <w:color w:val="1F4E79"/>
                <w:sz w:val="19"/>
              </w:rPr>
              <w:t>Domain</w:t>
            </w:r>
          </w:p>
        </w:tc>
        <w:tc>
          <w:tcPr>
            <w:tcW w:type="dxa" w:w="6917"/>
            <w:vAlign w:val="center"/>
            <w:shd w:fill="DCE6F1"/>
            <w:tcMar>
              <w:top w:w="120" w:type="dxa"/>
              <w:start w:w="150" w:type="dxa"/>
              <w:bottom w:w="120" w:type="dxa"/>
              <w:end w:w="150" w:type="dxa"/>
            </w:tcMar>
          </w:tcPr>
          <w:p>
            <w:pPr>
              <w:jc w:val="center"/>
            </w:pPr>
            <w:r>
              <w:rPr>
                <w:b/>
                <w:color w:val="1F4E79"/>
                <w:sz w:val="19"/>
              </w:rPr>
              <w:t>What QR must store canonically</w:t>
            </w:r>
          </w:p>
        </w:tc>
      </w:tr>
      <w:tr>
        <w:tc>
          <w:tcPr>
            <w:tcW w:type="dxa" w:w="2268"/>
            <w:vAlign w:val="center"/>
            <w:tcMar>
              <w:top w:w="110" w:type="dxa"/>
              <w:start w:w="130" w:type="dxa"/>
              <w:bottom w:w="110" w:type="dxa"/>
              <w:end w:w="130" w:type="dxa"/>
            </w:tcMar>
            <w:shd w:fill="F9FBFE"/>
          </w:tcPr>
          <w:p>
            <w:pPr>
              <w:jc w:val="center"/>
            </w:pPr>
            <w:r>
              <w:rPr>
                <w:sz w:val="19"/>
              </w:rPr>
              <w:t>Corpus</w:t>
            </w:r>
          </w:p>
        </w:tc>
        <w:tc>
          <w:tcPr>
            <w:tcW w:type="dxa" w:w="6917"/>
            <w:vAlign w:val="center"/>
            <w:tcMar>
              <w:top w:w="110" w:type="dxa"/>
              <w:start w:w="130" w:type="dxa"/>
              <w:bottom w:w="110" w:type="dxa"/>
              <w:end w:w="130" w:type="dxa"/>
            </w:tcMar>
            <w:shd w:fill="F9FBFE"/>
          </w:tcPr>
          <w:p>
            <w:pPr>
              <w:jc w:val="left"/>
            </w:pPr>
            <w:r>
              <w:rPr>
                <w:sz w:val="19"/>
              </w:rPr>
              <w:t>Surahs, ayat, word occurrences, translations, page-layout truth, and stable textual references.</w:t>
            </w:r>
          </w:p>
        </w:tc>
      </w:tr>
      <w:tr>
        <w:tc>
          <w:tcPr>
            <w:tcW w:type="dxa" w:w="2268"/>
            <w:vAlign w:val="center"/>
            <w:tcMar>
              <w:top w:w="110" w:type="dxa"/>
              <w:start w:w="130" w:type="dxa"/>
              <w:bottom w:w="110" w:type="dxa"/>
              <w:end w:w="130" w:type="dxa"/>
            </w:tcMar>
          </w:tcPr>
          <w:p>
            <w:pPr>
              <w:jc w:val="center"/>
            </w:pPr>
            <w:r>
              <w:rPr>
                <w:sz w:val="19"/>
              </w:rPr>
              <w:t>Surah organism</w:t>
            </w:r>
          </w:p>
        </w:tc>
        <w:tc>
          <w:tcPr>
            <w:tcW w:type="dxa" w:w="6917"/>
            <w:vAlign w:val="center"/>
            <w:tcMar>
              <w:top w:w="110" w:type="dxa"/>
              <w:start w:w="130" w:type="dxa"/>
              <w:bottom w:w="110" w:type="dxa"/>
              <w:end w:w="130" w:type="dxa"/>
            </w:tcMar>
          </w:tcPr>
          <w:p>
            <w:pPr>
              <w:jc w:val="left"/>
            </w:pPr>
            <w:r>
              <w:rPr>
                <w:sz w:val="19"/>
              </w:rPr>
              <w:t>Profiles, passages, structural units, pivots, openings, closures, and internal movement.</w:t>
            </w:r>
          </w:p>
        </w:tc>
      </w:tr>
      <w:tr>
        <w:tc>
          <w:tcPr>
            <w:tcW w:type="dxa" w:w="2268"/>
            <w:vAlign w:val="center"/>
            <w:tcMar>
              <w:top w:w="110" w:type="dxa"/>
              <w:start w:w="130" w:type="dxa"/>
              <w:bottom w:w="110" w:type="dxa"/>
              <w:end w:w="130" w:type="dxa"/>
            </w:tcMar>
            <w:shd w:fill="F9FBFE"/>
          </w:tcPr>
          <w:p>
            <w:pPr>
              <w:jc w:val="center"/>
            </w:pPr>
            <w:r>
              <w:rPr>
                <w:sz w:val="19"/>
              </w:rPr>
              <w:t>Literary architecture</w:t>
            </w:r>
          </w:p>
        </w:tc>
        <w:tc>
          <w:tcPr>
            <w:tcW w:type="dxa" w:w="6917"/>
            <w:vAlign w:val="center"/>
            <w:tcMar>
              <w:top w:w="110" w:type="dxa"/>
              <w:start w:w="130" w:type="dxa"/>
              <w:bottom w:w="110" w:type="dxa"/>
              <w:end w:w="130" w:type="dxa"/>
            </w:tcMar>
            <w:shd w:fill="F9FBFE"/>
          </w:tcPr>
          <w:p>
            <w:pPr>
              <w:jc w:val="left"/>
            </w:pPr>
            <w:r>
              <w:rPr>
                <w:sz w:val="19"/>
              </w:rPr>
              <w:t>Topic flow, discourse shifts, iltifat, rhyme and fawasil behavior, coherence signals, and pattern readings.</w:t>
            </w:r>
          </w:p>
        </w:tc>
      </w:tr>
      <w:tr>
        <w:tc>
          <w:tcPr>
            <w:tcW w:type="dxa" w:w="2268"/>
            <w:vAlign w:val="center"/>
            <w:tcMar>
              <w:top w:w="110" w:type="dxa"/>
              <w:start w:w="130" w:type="dxa"/>
              <w:bottom w:w="110" w:type="dxa"/>
              <w:end w:w="130" w:type="dxa"/>
            </w:tcMar>
          </w:tcPr>
          <w:p>
            <w:pPr>
              <w:jc w:val="center"/>
            </w:pPr>
            <w:r>
              <w:rPr>
                <w:sz w:val="19"/>
              </w:rPr>
              <w:t>Meaning</w:t>
            </w:r>
          </w:p>
        </w:tc>
        <w:tc>
          <w:tcPr>
            <w:tcW w:type="dxa" w:w="6917"/>
            <w:vAlign w:val="center"/>
            <w:tcMar>
              <w:top w:w="110" w:type="dxa"/>
              <w:start w:w="130" w:type="dxa"/>
              <w:bottom w:w="110" w:type="dxa"/>
              <w:end w:w="130" w:type="dxa"/>
            </w:tcMar>
          </w:tcPr>
          <w:p>
            <w:pPr>
              <w:jc w:val="left"/>
            </w:pPr>
            <w:r>
              <w:rPr>
                <w:sz w:val="19"/>
              </w:rPr>
              <w:t>Themes, motifs, theology, psychology, sociology, ethics, worldview, and value architecture.</w:t>
            </w:r>
          </w:p>
        </w:tc>
      </w:tr>
      <w:tr>
        <w:tc>
          <w:tcPr>
            <w:tcW w:type="dxa" w:w="2268"/>
            <w:vAlign w:val="center"/>
            <w:tcMar>
              <w:top w:w="110" w:type="dxa"/>
              <w:start w:w="130" w:type="dxa"/>
              <w:bottom w:w="110" w:type="dxa"/>
              <w:end w:w="130" w:type="dxa"/>
            </w:tcMar>
            <w:shd w:fill="F9FBFE"/>
          </w:tcPr>
          <w:p>
            <w:pPr>
              <w:jc w:val="center"/>
            </w:pPr>
            <w:r>
              <w:rPr>
                <w:sz w:val="19"/>
              </w:rPr>
              <w:t>Reasoning</w:t>
            </w:r>
          </w:p>
        </w:tc>
        <w:tc>
          <w:tcPr>
            <w:tcW w:type="dxa" w:w="6917"/>
            <w:vAlign w:val="center"/>
            <w:tcMar>
              <w:top w:w="110" w:type="dxa"/>
              <w:start w:w="130" w:type="dxa"/>
              <w:bottom w:w="110" w:type="dxa"/>
              <w:end w:w="130" w:type="dxa"/>
            </w:tcMar>
            <w:shd w:fill="F9FBFE"/>
          </w:tcPr>
          <w:p>
            <w:pPr>
              <w:jc w:val="left"/>
            </w:pPr>
            <w:r>
              <w:rPr>
                <w:sz w:val="19"/>
              </w:rPr>
              <w:t>Scopes, claims, nuances, arguments, evidences, and debate-ready positions.</w:t>
            </w:r>
          </w:p>
        </w:tc>
      </w:tr>
      <w:tr>
        <w:tc>
          <w:tcPr>
            <w:tcW w:type="dxa" w:w="2268"/>
            <w:vAlign w:val="center"/>
            <w:tcMar>
              <w:top w:w="110" w:type="dxa"/>
              <w:start w:w="130" w:type="dxa"/>
              <w:bottom w:w="110" w:type="dxa"/>
              <w:end w:w="130" w:type="dxa"/>
            </w:tcMar>
          </w:tcPr>
          <w:p>
            <w:pPr>
              <w:jc w:val="center"/>
            </w:pPr>
            <w:r>
              <w:rPr>
                <w:sz w:val="19"/>
              </w:rPr>
              <w:t>Reception</w:t>
            </w:r>
          </w:p>
        </w:tc>
        <w:tc>
          <w:tcPr>
            <w:tcW w:type="dxa" w:w="6917"/>
            <w:vAlign w:val="center"/>
            <w:tcMar>
              <w:top w:w="110" w:type="dxa"/>
              <w:start w:w="130" w:type="dxa"/>
              <w:bottom w:w="110" w:type="dxa"/>
              <w:end w:w="130" w:type="dxa"/>
            </w:tcMar>
          </w:tcPr>
          <w:p>
            <w:pPr>
              <w:jc w:val="left"/>
            </w:pPr>
            <w:r>
              <w:rPr>
                <w:sz w:val="19"/>
              </w:rPr>
              <w:t>Tafsir entries, paradigms, scholar readings, works, positions, interpretive differences, and reception history.</w:t>
            </w:r>
          </w:p>
        </w:tc>
      </w:tr>
      <w:tr>
        <w:tc>
          <w:tcPr>
            <w:tcW w:type="dxa" w:w="2268"/>
            <w:vAlign w:val="center"/>
            <w:tcMar>
              <w:top w:w="110" w:type="dxa"/>
              <w:start w:w="130" w:type="dxa"/>
              <w:bottom w:w="110" w:type="dxa"/>
              <w:end w:w="130" w:type="dxa"/>
            </w:tcMar>
            <w:shd w:fill="F9FBFE"/>
          </w:tcPr>
          <w:p>
            <w:pPr>
              <w:jc w:val="center"/>
            </w:pPr>
            <w:r>
              <w:rPr>
                <w:sz w:val="19"/>
              </w:rPr>
              <w:t>Relations</w:t>
            </w:r>
          </w:p>
        </w:tc>
        <w:tc>
          <w:tcPr>
            <w:tcW w:type="dxa" w:w="6917"/>
            <w:vAlign w:val="center"/>
            <w:tcMar>
              <w:top w:w="110" w:type="dxa"/>
              <w:start w:w="130" w:type="dxa"/>
              <w:bottom w:w="110" w:type="dxa"/>
              <w:end w:w="130" w:type="dxa"/>
            </w:tcMar>
            <w:shd w:fill="F9FBFE"/>
          </w:tcPr>
          <w:p>
            <w:pPr>
              <w:jc w:val="left"/>
            </w:pPr>
            <w:r>
              <w:rPr>
                <w:sz w:val="19"/>
              </w:rPr>
              <w:t>Cross-surah patterns, Qur'an-bil-Qur'an links, comparative traditions, and civilizational contrasts.</w:t>
            </w:r>
          </w:p>
        </w:tc>
      </w:tr>
      <w:tr>
        <w:tc>
          <w:tcPr>
            <w:tcW w:type="dxa" w:w="2268"/>
            <w:vAlign w:val="center"/>
            <w:tcMar>
              <w:top w:w="110" w:type="dxa"/>
              <w:start w:w="130" w:type="dxa"/>
              <w:bottom w:w="110" w:type="dxa"/>
              <w:end w:w="130" w:type="dxa"/>
            </w:tcMar>
          </w:tcPr>
          <w:p>
            <w:pPr>
              <w:jc w:val="center"/>
            </w:pPr>
            <w:r>
              <w:rPr>
                <w:sz w:val="19"/>
              </w:rPr>
              <w:t>Projection</w:t>
            </w:r>
          </w:p>
        </w:tc>
        <w:tc>
          <w:tcPr>
            <w:tcW w:type="dxa" w:w="6917"/>
            <w:vAlign w:val="center"/>
            <w:tcMar>
              <w:top w:w="110" w:type="dxa"/>
              <w:start w:w="130" w:type="dxa"/>
              <w:bottom w:w="110" w:type="dxa"/>
              <w:end w:w="130" w:type="dxa"/>
            </w:tcMar>
          </w:tcPr>
          <w:p>
            <w:pPr>
              <w:jc w:val="left"/>
            </w:pPr>
            <w:r>
              <w:rPr>
                <w:sz w:val="19"/>
              </w:rPr>
              <w:t>Canonical graph projections, diagram specifications, rendered analysis caches, and outward bridge links.</w:t>
            </w:r>
          </w:p>
        </w:tc>
      </w:tr>
      <w:tr>
        <w:tc>
          <w:tcPr>
            <w:tcW w:type="dxa" w:w="4762"/>
          </w:tcPr>
          <w:p>
            <w:r>
              <w:t>Historical and textual horizon</w:t>
            </w:r>
          </w:p>
        </w:tc>
        <w:tc>
          <w:tcPr>
            <w:tcW w:type="dxa" w:w="4762"/>
          </w:tcPr>
          <w:p>
            <w:r>
              <w:t>Late antique context, inter-scriptural relations, political and historical milieu, material witnesses, text history, preservation discourse, and academic questions anchored to Qur’anic scopes.</w:t>
            </w:r>
          </w:p>
        </w:tc>
      </w:tr>
    </w:tbl>
    <w:p/>
    <w:p>
      <w:pPr>
        <w:pStyle w:val="Heading1"/>
      </w:pPr>
      <w:r>
        <w:t>2. Surah as atomic organism</w:t>
      </w:r>
    </w:p>
    <w:p>
      <w:r>
        <w:t>The core redesign principle is simple: the surah is the atomic analytical organism. Every other unit becomes a subordinate scope inside that organism.</w:t>
      </w:r>
    </w:p>
    <w:p>
      <w:pPr>
        <w:pStyle w:val="ListBullet"/>
        <w:spacing w:after="40"/>
        <w:ind w:left="0"/>
      </w:pPr>
      <w:r>
        <w:rPr>
          <w:sz w:val="20"/>
        </w:rPr>
        <w:t>Ayah = local segment inside the surah organism.</w:t>
      </w:r>
    </w:p>
    <w:p>
      <w:pPr>
        <w:pStyle w:val="ListBullet"/>
        <w:spacing w:after="40"/>
        <w:ind w:left="0"/>
      </w:pPr>
      <w:r>
        <w:rPr>
          <w:sz w:val="20"/>
        </w:rPr>
        <w:t>Passage = meso-level structural segment inside the surah organism.</w:t>
      </w:r>
    </w:p>
    <w:p>
      <w:pPr>
        <w:pStyle w:val="ListBullet"/>
        <w:spacing w:after="40"/>
        <w:ind w:left="0"/>
      </w:pPr>
      <w:r>
        <w:rPr>
          <w:sz w:val="20"/>
        </w:rPr>
        <w:t>Sentence and clause = discourse mechanics inside the surah organism.</w:t>
      </w:r>
    </w:p>
    <w:p>
      <w:pPr>
        <w:pStyle w:val="ListBullet"/>
        <w:spacing w:after="40"/>
        <w:ind w:left="0"/>
      </w:pPr>
      <w:r>
        <w:rPr>
          <w:sz w:val="20"/>
        </w:rPr>
        <w:t>Motif = recurring semantic or imagistic pattern inside the surah organism.</w:t>
      </w:r>
    </w:p>
    <w:p>
      <w:pPr>
        <w:pStyle w:val="ListBullet"/>
        <w:spacing w:after="40"/>
        <w:ind w:left="0"/>
      </w:pPr>
      <w:r>
        <w:rPr>
          <w:sz w:val="20"/>
        </w:rPr>
        <w:t>Scholar reading = interpretive stance about the surah organism or one of its scopes.</w:t>
      </w:r>
    </w:p>
    <w:p>
      <w:pPr>
        <w:pStyle w:val="ListBullet"/>
        <w:spacing w:after="40"/>
        <w:ind w:left="0"/>
      </w:pPr>
      <w:r>
        <w:rPr>
          <w:sz w:val="20"/>
        </w:rPr>
        <w:t>Argument = structured claim about the surah organism, its design, or its implications.</w:t>
      </w:r>
    </w:p>
    <w:p>
      <w:pPr>
        <w:pStyle w:val="ListBullet"/>
        <w:spacing w:after="40"/>
        <w:ind w:left="0"/>
      </w:pPr>
      <w:r>
        <w:rPr>
          <w:sz w:val="20"/>
        </w:rPr>
        <w:t>Diagram = projection of canonical QR rows, not the primary store of meaning.</w:t>
      </w:r>
    </w:p>
    <w:p>
      <w:pPr>
        <w:pStyle w:val="Heading2"/>
      </w:pPr>
      <w:r>
        <w:t>The analytical hierarchy</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531"/>
            <w:vAlign w:val="center"/>
            <w:shd w:fill="DCE6F1"/>
            <w:tcMar>
              <w:top w:w="120" w:type="dxa"/>
              <w:start w:w="150" w:type="dxa"/>
              <w:bottom w:w="120" w:type="dxa"/>
              <w:end w:w="150" w:type="dxa"/>
            </w:tcMar>
          </w:tcPr>
          <w:p>
            <w:pPr>
              <w:jc w:val="center"/>
            </w:pPr>
            <w:r>
              <w:rPr>
                <w:b/>
                <w:color w:val="1F4E79"/>
                <w:sz w:val="19"/>
              </w:rPr>
              <w:t>Level</w:t>
            </w:r>
          </w:p>
        </w:tc>
        <w:tc>
          <w:tcPr>
            <w:tcW w:type="dxa" w:w="3118"/>
            <w:vAlign w:val="center"/>
            <w:shd w:fill="DCE6F1"/>
            <w:tcMar>
              <w:top w:w="120" w:type="dxa"/>
              <w:start w:w="150" w:type="dxa"/>
              <w:bottom w:w="120" w:type="dxa"/>
              <w:end w:w="150" w:type="dxa"/>
            </w:tcMar>
          </w:tcPr>
          <w:p>
            <w:pPr>
              <w:jc w:val="center"/>
            </w:pPr>
            <w:r>
              <w:rPr>
                <w:b/>
                <w:color w:val="1F4E79"/>
                <w:sz w:val="19"/>
              </w:rPr>
              <w:t>Question answered</w:t>
            </w:r>
          </w:p>
        </w:tc>
        <w:tc>
          <w:tcPr>
            <w:tcW w:type="dxa" w:w="4422"/>
            <w:vAlign w:val="center"/>
            <w:shd w:fill="DCE6F1"/>
            <w:tcMar>
              <w:top w:w="120" w:type="dxa"/>
              <w:start w:w="150" w:type="dxa"/>
              <w:bottom w:w="120" w:type="dxa"/>
              <w:end w:w="150" w:type="dxa"/>
            </w:tcMar>
          </w:tcPr>
          <w:p>
            <w:pPr>
              <w:jc w:val="center"/>
            </w:pPr>
            <w:r>
              <w:rPr>
                <w:b/>
                <w:color w:val="1F4E79"/>
                <w:sz w:val="19"/>
              </w:rPr>
              <w:t>Primary QR concern</w:t>
            </w:r>
          </w:p>
        </w:tc>
      </w:tr>
      <w:tr>
        <w:tc>
          <w:tcPr>
            <w:tcW w:type="dxa" w:w="1531"/>
            <w:vAlign w:val="center"/>
            <w:tcMar>
              <w:top w:w="110" w:type="dxa"/>
              <w:start w:w="130" w:type="dxa"/>
              <w:bottom w:w="110" w:type="dxa"/>
              <w:end w:w="130" w:type="dxa"/>
            </w:tcMar>
            <w:shd w:fill="F9FBFE"/>
          </w:tcPr>
          <w:p>
            <w:pPr>
              <w:jc w:val="center"/>
            </w:pPr>
            <w:r>
              <w:rPr>
                <w:sz w:val="19"/>
              </w:rPr>
              <w:t>Surah identity</w:t>
            </w:r>
          </w:p>
        </w:tc>
        <w:tc>
          <w:tcPr>
            <w:tcW w:type="dxa" w:w="3118"/>
            <w:vAlign w:val="center"/>
            <w:tcMar>
              <w:top w:w="110" w:type="dxa"/>
              <w:start w:w="130" w:type="dxa"/>
              <w:bottom w:w="110" w:type="dxa"/>
              <w:end w:w="130" w:type="dxa"/>
            </w:tcMar>
            <w:shd w:fill="F9FBFE"/>
          </w:tcPr>
          <w:p>
            <w:pPr>
              <w:jc w:val="left"/>
            </w:pPr>
            <w:r>
              <w:rPr>
                <w:sz w:val="19"/>
              </w:rPr>
              <w:t>What kind of organism is this surah?</w:t>
            </w:r>
          </w:p>
        </w:tc>
        <w:tc>
          <w:tcPr>
            <w:tcW w:type="dxa" w:w="4422"/>
            <w:vAlign w:val="center"/>
            <w:tcMar>
              <w:top w:w="110" w:type="dxa"/>
              <w:start w:w="130" w:type="dxa"/>
              <w:bottom w:w="110" w:type="dxa"/>
              <w:end w:w="130" w:type="dxa"/>
            </w:tcMar>
            <w:shd w:fill="F9FBFE"/>
          </w:tcPr>
          <w:p>
            <w:pPr>
              <w:jc w:val="left"/>
            </w:pPr>
            <w:r>
              <w:rPr>
                <w:sz w:val="19"/>
              </w:rPr>
              <w:t>Atomic profile, governing movement, opening force, closure force.</w:t>
            </w:r>
          </w:p>
        </w:tc>
      </w:tr>
      <w:tr>
        <w:tc>
          <w:tcPr>
            <w:tcW w:type="dxa" w:w="1531"/>
            <w:vAlign w:val="center"/>
            <w:tcMar>
              <w:top w:w="110" w:type="dxa"/>
              <w:start w:w="130" w:type="dxa"/>
              <w:bottom w:w="110" w:type="dxa"/>
              <w:end w:w="130" w:type="dxa"/>
            </w:tcMar>
          </w:tcPr>
          <w:p>
            <w:pPr>
              <w:jc w:val="center"/>
            </w:pPr>
            <w:r>
              <w:rPr>
                <w:sz w:val="19"/>
              </w:rPr>
              <w:t>Internal structure</w:t>
            </w:r>
          </w:p>
        </w:tc>
        <w:tc>
          <w:tcPr>
            <w:tcW w:type="dxa" w:w="3118"/>
            <w:vAlign w:val="center"/>
            <w:tcMar>
              <w:top w:w="110" w:type="dxa"/>
              <w:start w:w="130" w:type="dxa"/>
              <w:bottom w:w="110" w:type="dxa"/>
              <w:end w:w="130" w:type="dxa"/>
            </w:tcMar>
          </w:tcPr>
          <w:p>
            <w:pPr>
              <w:jc w:val="left"/>
            </w:pPr>
            <w:r>
              <w:rPr>
                <w:sz w:val="19"/>
              </w:rPr>
              <w:t>How is the surah built?</w:t>
            </w:r>
          </w:p>
        </w:tc>
        <w:tc>
          <w:tcPr>
            <w:tcW w:type="dxa" w:w="4422"/>
            <w:vAlign w:val="center"/>
            <w:tcMar>
              <w:top w:w="110" w:type="dxa"/>
              <w:start w:w="130" w:type="dxa"/>
              <w:bottom w:w="110" w:type="dxa"/>
              <w:end w:w="130" w:type="dxa"/>
            </w:tcMar>
          </w:tcPr>
          <w:p>
            <w:pPr>
              <w:jc w:val="left"/>
            </w:pPr>
            <w:r>
              <w:rPr>
                <w:sz w:val="19"/>
              </w:rPr>
              <w:t>Passages, pivots, symmetry families, progression logic, internal bridges.</w:t>
            </w:r>
          </w:p>
        </w:tc>
      </w:tr>
      <w:tr>
        <w:tc>
          <w:tcPr>
            <w:tcW w:type="dxa" w:w="1531"/>
            <w:vAlign w:val="center"/>
            <w:tcMar>
              <w:top w:w="110" w:type="dxa"/>
              <w:start w:w="130" w:type="dxa"/>
              <w:bottom w:w="110" w:type="dxa"/>
              <w:end w:w="130" w:type="dxa"/>
            </w:tcMar>
            <w:shd w:fill="F9FBFE"/>
          </w:tcPr>
          <w:p>
            <w:pPr>
              <w:jc w:val="center"/>
            </w:pPr>
            <w:r>
              <w:rPr>
                <w:sz w:val="19"/>
              </w:rPr>
              <w:t>Motif and theme</w:t>
            </w:r>
          </w:p>
        </w:tc>
        <w:tc>
          <w:tcPr>
            <w:tcW w:type="dxa" w:w="3118"/>
            <w:vAlign w:val="center"/>
            <w:tcMar>
              <w:top w:w="110" w:type="dxa"/>
              <w:start w:w="130" w:type="dxa"/>
              <w:bottom w:w="110" w:type="dxa"/>
              <w:end w:w="130" w:type="dxa"/>
            </w:tcMar>
            <w:shd w:fill="F9FBFE"/>
          </w:tcPr>
          <w:p>
            <w:pPr>
              <w:jc w:val="left"/>
            </w:pPr>
            <w:r>
              <w:rPr>
                <w:sz w:val="19"/>
              </w:rPr>
              <w:t>What semantic material recurs and develops?</w:t>
            </w:r>
          </w:p>
        </w:tc>
        <w:tc>
          <w:tcPr>
            <w:tcW w:type="dxa" w:w="4422"/>
            <w:vAlign w:val="center"/>
            <w:tcMar>
              <w:top w:w="110" w:type="dxa"/>
              <w:start w:w="130" w:type="dxa"/>
              <w:bottom w:w="110" w:type="dxa"/>
              <w:end w:w="130" w:type="dxa"/>
            </w:tcMar>
            <w:shd w:fill="F9FBFE"/>
          </w:tcPr>
          <w:p>
            <w:pPr>
              <w:jc w:val="left"/>
            </w:pPr>
            <w:r>
              <w:rPr>
                <w:sz w:val="19"/>
              </w:rPr>
              <w:t>Topics, motifs, clusters, returns, contrasts, value signals.</w:t>
            </w:r>
          </w:p>
        </w:tc>
      </w:tr>
      <w:tr>
        <w:tc>
          <w:tcPr>
            <w:tcW w:type="dxa" w:w="1531"/>
            <w:vAlign w:val="center"/>
            <w:tcMar>
              <w:top w:w="110" w:type="dxa"/>
              <w:start w:w="130" w:type="dxa"/>
              <w:bottom w:w="110" w:type="dxa"/>
              <w:end w:w="130" w:type="dxa"/>
            </w:tcMar>
          </w:tcPr>
          <w:p>
            <w:pPr>
              <w:jc w:val="center"/>
            </w:pPr>
            <w:r>
              <w:rPr>
                <w:sz w:val="19"/>
              </w:rPr>
              <w:t>Rhetoric and language</w:t>
            </w:r>
          </w:p>
        </w:tc>
        <w:tc>
          <w:tcPr>
            <w:tcW w:type="dxa" w:w="3118"/>
            <w:vAlign w:val="center"/>
            <w:tcMar>
              <w:top w:w="110" w:type="dxa"/>
              <w:start w:w="130" w:type="dxa"/>
              <w:bottom w:w="110" w:type="dxa"/>
              <w:end w:w="130" w:type="dxa"/>
            </w:tcMar>
          </w:tcPr>
          <w:p>
            <w:pPr>
              <w:jc w:val="left"/>
            </w:pPr>
            <w:r>
              <w:rPr>
                <w:sz w:val="19"/>
              </w:rPr>
              <w:t>How does the surah speak?</w:t>
            </w:r>
          </w:p>
        </w:tc>
        <w:tc>
          <w:tcPr>
            <w:tcW w:type="dxa" w:w="4422"/>
            <w:vAlign w:val="center"/>
            <w:tcMar>
              <w:top w:w="110" w:type="dxa"/>
              <w:start w:w="130" w:type="dxa"/>
              <w:bottom w:w="110" w:type="dxa"/>
              <w:end w:w="130" w:type="dxa"/>
            </w:tcMar>
          </w:tcPr>
          <w:p>
            <w:pPr>
              <w:jc w:val="left"/>
            </w:pPr>
            <w:r>
              <w:rPr>
                <w:sz w:val="19"/>
              </w:rPr>
              <w:t>Rhetorical turns, sonic patterning, clause behavior, nuance, emphasis.</w:t>
            </w:r>
          </w:p>
        </w:tc>
      </w:tr>
      <w:tr>
        <w:tc>
          <w:tcPr>
            <w:tcW w:type="dxa" w:w="1531"/>
            <w:vAlign w:val="center"/>
            <w:tcMar>
              <w:top w:w="110" w:type="dxa"/>
              <w:start w:w="130" w:type="dxa"/>
              <w:bottom w:w="110" w:type="dxa"/>
              <w:end w:w="130" w:type="dxa"/>
            </w:tcMar>
            <w:shd w:fill="F9FBFE"/>
          </w:tcPr>
          <w:p>
            <w:pPr>
              <w:jc w:val="center"/>
            </w:pPr>
            <w:r>
              <w:rPr>
                <w:sz w:val="19"/>
              </w:rPr>
              <w:t>Worldview</w:t>
            </w:r>
          </w:p>
        </w:tc>
        <w:tc>
          <w:tcPr>
            <w:tcW w:type="dxa" w:w="3118"/>
            <w:vAlign w:val="center"/>
            <w:tcMar>
              <w:top w:w="110" w:type="dxa"/>
              <w:start w:w="130" w:type="dxa"/>
              <w:bottom w:w="110" w:type="dxa"/>
              <w:end w:w="130" w:type="dxa"/>
            </w:tcMar>
            <w:shd w:fill="F9FBFE"/>
          </w:tcPr>
          <w:p>
            <w:pPr>
              <w:jc w:val="left"/>
            </w:pPr>
            <w:r>
              <w:rPr>
                <w:sz w:val="19"/>
              </w:rPr>
              <w:t>What moral and ontological universe does it construct?</w:t>
            </w:r>
          </w:p>
        </w:tc>
        <w:tc>
          <w:tcPr>
            <w:tcW w:type="dxa" w:w="4422"/>
            <w:vAlign w:val="center"/>
            <w:tcMar>
              <w:top w:w="110" w:type="dxa"/>
              <w:start w:w="130" w:type="dxa"/>
              <w:bottom w:w="110" w:type="dxa"/>
              <w:end w:w="130" w:type="dxa"/>
            </w:tcMar>
            <w:shd w:fill="F9FBFE"/>
          </w:tcPr>
          <w:p>
            <w:pPr>
              <w:jc w:val="left"/>
            </w:pPr>
            <w:r>
              <w:rPr>
                <w:sz w:val="19"/>
              </w:rPr>
              <w:t>Anthropology, value architecture, truth/error logic, divine-human relation.</w:t>
            </w:r>
          </w:p>
        </w:tc>
      </w:tr>
      <w:tr>
        <w:tc>
          <w:tcPr>
            <w:tcW w:type="dxa" w:w="1531"/>
            <w:vAlign w:val="center"/>
            <w:tcMar>
              <w:top w:w="110" w:type="dxa"/>
              <w:start w:w="130" w:type="dxa"/>
              <w:bottom w:w="110" w:type="dxa"/>
              <w:end w:w="130" w:type="dxa"/>
            </w:tcMar>
          </w:tcPr>
          <w:p>
            <w:pPr>
              <w:jc w:val="center"/>
            </w:pPr>
            <w:r>
              <w:rPr>
                <w:sz w:val="19"/>
              </w:rPr>
              <w:t>Reception</w:t>
            </w:r>
          </w:p>
        </w:tc>
        <w:tc>
          <w:tcPr>
            <w:tcW w:type="dxa" w:w="3118"/>
            <w:vAlign w:val="center"/>
            <w:tcMar>
              <w:top w:w="110" w:type="dxa"/>
              <w:start w:w="130" w:type="dxa"/>
              <w:bottom w:w="110" w:type="dxa"/>
              <w:end w:w="130" w:type="dxa"/>
            </w:tcMar>
          </w:tcPr>
          <w:p>
            <w:pPr>
              <w:jc w:val="left"/>
            </w:pPr>
            <w:r>
              <w:rPr>
                <w:sz w:val="19"/>
              </w:rPr>
              <w:t>How has it been read?</w:t>
            </w:r>
          </w:p>
        </w:tc>
        <w:tc>
          <w:tcPr>
            <w:tcW w:type="dxa" w:w="4422"/>
            <w:vAlign w:val="center"/>
            <w:tcMar>
              <w:top w:w="110" w:type="dxa"/>
              <w:start w:w="130" w:type="dxa"/>
              <w:bottom w:w="110" w:type="dxa"/>
              <w:end w:w="130" w:type="dxa"/>
            </w:tcMar>
          </w:tcPr>
          <w:p>
            <w:pPr>
              <w:jc w:val="left"/>
            </w:pPr>
            <w:r>
              <w:rPr>
                <w:sz w:val="19"/>
              </w:rPr>
              <w:t>Tafsir, paradigms, scholars, works, differences, reception history.</w:t>
            </w:r>
          </w:p>
        </w:tc>
      </w:tr>
      <w:tr>
        <w:tc>
          <w:tcPr>
            <w:tcW w:type="dxa" w:w="1531"/>
            <w:vAlign w:val="center"/>
            <w:tcMar>
              <w:top w:w="110" w:type="dxa"/>
              <w:start w:w="130" w:type="dxa"/>
              <w:bottom w:w="110" w:type="dxa"/>
              <w:end w:w="130" w:type="dxa"/>
            </w:tcMar>
            <w:shd w:fill="F9FBFE"/>
          </w:tcPr>
          <w:p>
            <w:pPr>
              <w:jc w:val="center"/>
            </w:pPr>
            <w:r>
              <w:rPr>
                <w:sz w:val="19"/>
              </w:rPr>
              <w:t>Debate and comparison</w:t>
            </w:r>
          </w:p>
        </w:tc>
        <w:tc>
          <w:tcPr>
            <w:tcW w:type="dxa" w:w="3118"/>
            <w:vAlign w:val="center"/>
            <w:tcMar>
              <w:top w:w="110" w:type="dxa"/>
              <w:start w:w="130" w:type="dxa"/>
              <w:bottom w:w="110" w:type="dxa"/>
              <w:end w:w="130" w:type="dxa"/>
            </w:tcMar>
            <w:shd w:fill="F9FBFE"/>
          </w:tcPr>
          <w:p>
            <w:pPr>
              <w:jc w:val="left"/>
            </w:pPr>
            <w:r>
              <w:rPr>
                <w:sz w:val="19"/>
              </w:rPr>
              <w:t>How does it meet rival readings?</w:t>
            </w:r>
          </w:p>
        </w:tc>
        <w:tc>
          <w:tcPr>
            <w:tcW w:type="dxa" w:w="4422"/>
            <w:vAlign w:val="center"/>
            <w:tcMar>
              <w:top w:w="110" w:type="dxa"/>
              <w:start w:w="130" w:type="dxa"/>
              <w:bottom w:w="110" w:type="dxa"/>
              <w:end w:w="130" w:type="dxa"/>
            </w:tcMar>
            <w:shd w:fill="F9FBFE"/>
          </w:tcPr>
          <w:p>
            <w:pPr>
              <w:jc w:val="left"/>
            </w:pPr>
            <w:r>
              <w:rPr>
                <w:sz w:val="19"/>
              </w:rPr>
              <w:t>Arguments, evidence, ideology contrast, modern and historical contestation.</w:t>
            </w:r>
          </w:p>
        </w:tc>
      </w:tr>
      <w:tr>
        <w:tc>
          <w:tcPr>
            <w:tcW w:type="dxa" w:w="3175"/>
          </w:tcPr>
          <w:p>
            <w:r>
              <w:t>Historical and textual horizon</w:t>
            </w:r>
          </w:p>
        </w:tc>
        <w:tc>
          <w:tcPr>
            <w:tcW w:type="dxa" w:w="3175"/>
          </w:tcPr>
          <w:p>
            <w:r>
              <w:t>What wider late antique, political, material, and textual environment bears on this surah, passage, sentence, or debate?</w:t>
            </w:r>
          </w:p>
        </w:tc>
        <w:tc>
          <w:tcPr>
            <w:tcW w:type="dxa" w:w="3175"/>
          </w:tcPr>
          <w:p>
            <w:r>
              <w:t>Tradition relations, historical milieu, material witnesses, text history, preservation discourse, and academic-question files.</w:t>
            </w:r>
          </w:p>
        </w:tc>
      </w:tr>
    </w:tbl>
    <w:p/>
    <w:p>
      <w:pPr>
        <w:pStyle w:val="Heading2"/>
      </w:pPr>
      <w:r>
        <w:t>Why surah-first is non-negotiable</w:t>
      </w:r>
    </w:p>
    <w:p>
      <w:pPr>
        <w:pStyle w:val="Heading2"/>
      </w:pPr>
      <w:r>
        <w:t>Workflow-preserving surah study flow</w:t>
      </w:r>
    </w:p>
    <w:p>
      <w:pPr/>
      <w:r>
        <w:t>QR should preserve the existing passage-by-passage study flow rather than forcing an abrupt removal of container-based execution. For Qur'anic surah study, the preserved workflow families should be renamed under QR as qr_containers, qr_container_units, and qr_container_unit_tasks, while Arabic keeps its separate ar_* delivery families.</w:t>
      </w:r>
    </w:p>
    <w:p>
      <w:pPr/>
      <w:r>
        <w:t>In this preserved QR flow, the container unit is the surah study unit and the task is the passage-level study unit. That means surah = qr_container_unit and passage = qr_container_unit_task for delivery and review, even though canonical semantic ownership still lives in qr_surahs, qr_surah_passages, structure rows, claim/evidence rows, and other surah-first families.</w:t>
      </w:r>
    </w:p>
    <w:p>
      <w:pPr/>
      <w:r>
        <w:t>This keeps the current operational workflow intact for study execution while preventing task JSON or generic delivery wrappers from becoming the real store of Qur'anic meaning. The preserved container flow is therefore a QR-owned orchestration layer, not a replacement for the canonical surah organism.</w:t>
      </w:r>
    </w:p>
    <w:p>
      <w:pPr>
        <w:pStyle w:val="ListNumber"/>
      </w:pPr>
      <w:r>
        <w:t>It prevents fragmentation into disconnected verse notes and free-floating graph nodes.</w:t>
      </w:r>
    </w:p>
    <w:p>
      <w:pPr>
        <w:pStyle w:val="ListNumber"/>
      </w:pPr>
      <w:r>
        <w:t>It allows structure, rhetoric, worldview, and reception to remain interpretively coherent.</w:t>
      </w:r>
    </w:p>
    <w:p>
      <w:pPr>
        <w:pStyle w:val="ListNumber"/>
      </w:pPr>
      <w:r>
        <w:t>It supports higher-order claims such as surah design, sequence, pairing, and civilizational critique.</w:t>
      </w:r>
    </w:p>
    <w:p>
      <w:pPr>
        <w:pStyle w:val="ListNumber"/>
      </w:pPr>
      <w:r>
        <w:t>It turns sentence and token data into supporting sciences rather than the headline ontology.</w:t>
      </w:r>
    </w:p>
    <w:p>
      <w:pPr>
        <w:pStyle w:val="Heading1"/>
      </w:pPr>
      <w:r>
        <w:t>3. Internal structure science</w:t>
      </w:r>
    </w:p>
    <w:p>
      <w:r>
        <w:t>A surah is not only a text sequence. It is a structured composition. QR therefore needs a genuine structure science, not just a passage table plus summary JSON.</w:t>
      </w:r>
    </w:p>
    <w:p>
      <w:pPr>
        <w:pStyle w:val="Heading2"/>
      </w:pPr>
      <w:r>
        <w:t>Structure families that must be first-class</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2381"/>
            <w:vAlign w:val="center"/>
            <w:shd w:fill="DCE6F1"/>
            <w:tcMar>
              <w:top w:w="120" w:type="dxa"/>
              <w:start w:w="150" w:type="dxa"/>
              <w:bottom w:w="120" w:type="dxa"/>
              <w:end w:w="150" w:type="dxa"/>
            </w:tcMar>
          </w:tcPr>
          <w:p>
            <w:pPr>
              <w:jc w:val="center"/>
            </w:pPr>
            <w:r>
              <w:rPr>
                <w:b/>
                <w:color w:val="1F4E79"/>
                <w:sz w:val="19"/>
              </w:rPr>
              <w:t>Structure family</w:t>
            </w:r>
          </w:p>
        </w:tc>
        <w:tc>
          <w:tcPr>
            <w:tcW w:type="dxa" w:w="3628"/>
            <w:vAlign w:val="center"/>
            <w:shd w:fill="DCE6F1"/>
            <w:tcMar>
              <w:top w:w="120" w:type="dxa"/>
              <w:start w:w="150" w:type="dxa"/>
              <w:bottom w:w="120" w:type="dxa"/>
              <w:end w:w="150" w:type="dxa"/>
            </w:tcMar>
          </w:tcPr>
          <w:p>
            <w:pPr>
              <w:jc w:val="center"/>
            </w:pPr>
            <w:r>
              <w:rPr>
                <w:b/>
                <w:color w:val="1F4E79"/>
                <w:sz w:val="19"/>
              </w:rPr>
              <w:t>What it captures</w:t>
            </w:r>
          </w:p>
        </w:tc>
        <w:tc>
          <w:tcPr>
            <w:tcW w:type="dxa" w:w="3061"/>
            <w:vAlign w:val="center"/>
            <w:shd w:fill="DCE6F1"/>
            <w:tcMar>
              <w:top w:w="120" w:type="dxa"/>
              <w:start w:w="150" w:type="dxa"/>
              <w:bottom w:w="120" w:type="dxa"/>
              <w:end w:w="150" w:type="dxa"/>
            </w:tcMar>
          </w:tcPr>
          <w:p>
            <w:pPr>
              <w:jc w:val="center"/>
            </w:pPr>
            <w:r>
              <w:rPr>
                <w:b/>
                <w:color w:val="1F4E79"/>
                <w:sz w:val="19"/>
              </w:rPr>
              <w:t>Examples</w:t>
            </w:r>
          </w:p>
        </w:tc>
      </w:tr>
      <w:tr>
        <w:tc>
          <w:tcPr>
            <w:tcW w:type="dxa" w:w="2381"/>
            <w:vAlign w:val="center"/>
            <w:tcMar>
              <w:top w:w="110" w:type="dxa"/>
              <w:start w:w="130" w:type="dxa"/>
              <w:bottom w:w="110" w:type="dxa"/>
              <w:end w:w="130" w:type="dxa"/>
            </w:tcMar>
            <w:shd w:fill="F9FBFE"/>
          </w:tcPr>
          <w:p>
            <w:pPr>
              <w:jc w:val="center"/>
            </w:pPr>
            <w:r>
              <w:rPr>
                <w:sz w:val="19"/>
              </w:rPr>
              <w:t>Passage architecture</w:t>
            </w:r>
          </w:p>
        </w:tc>
        <w:tc>
          <w:tcPr>
            <w:tcW w:type="dxa" w:w="3628"/>
            <w:vAlign w:val="center"/>
            <w:tcMar>
              <w:top w:w="110" w:type="dxa"/>
              <w:start w:w="130" w:type="dxa"/>
              <w:bottom w:w="110" w:type="dxa"/>
              <w:end w:w="130" w:type="dxa"/>
            </w:tcMar>
            <w:shd w:fill="F9FBFE"/>
          </w:tcPr>
          <w:p>
            <w:pPr>
              <w:jc w:val="left"/>
            </w:pPr>
            <w:r>
              <w:rPr>
                <w:sz w:val="19"/>
              </w:rPr>
              <w:t>Named sections and their relations</w:t>
            </w:r>
          </w:p>
        </w:tc>
        <w:tc>
          <w:tcPr>
            <w:tcW w:type="dxa" w:w="3061"/>
            <w:vAlign w:val="center"/>
            <w:tcMar>
              <w:top w:w="110" w:type="dxa"/>
              <w:start w:w="130" w:type="dxa"/>
              <w:bottom w:w="110" w:type="dxa"/>
              <w:end w:w="130" w:type="dxa"/>
            </w:tcMar>
            <w:shd w:fill="F9FBFE"/>
          </w:tcPr>
          <w:p>
            <w:pPr>
              <w:jc w:val="left"/>
            </w:pPr>
            <w:r>
              <w:rPr>
                <w:sz w:val="19"/>
              </w:rPr>
              <w:t>Opening, development, pivot, closure, bridge, return</w:t>
            </w:r>
          </w:p>
        </w:tc>
      </w:tr>
      <w:tr>
        <w:tc>
          <w:tcPr>
            <w:tcW w:type="dxa" w:w="2381"/>
            <w:vAlign w:val="center"/>
            <w:tcMar>
              <w:top w:w="110" w:type="dxa"/>
              <w:start w:w="130" w:type="dxa"/>
              <w:bottom w:w="110" w:type="dxa"/>
              <w:end w:w="130" w:type="dxa"/>
            </w:tcMar>
          </w:tcPr>
          <w:p>
            <w:pPr>
              <w:jc w:val="center"/>
            </w:pPr>
            <w:r>
              <w:rPr>
                <w:sz w:val="19"/>
              </w:rPr>
              <w:t>Concentric and ring design</w:t>
            </w:r>
          </w:p>
        </w:tc>
        <w:tc>
          <w:tcPr>
            <w:tcW w:type="dxa" w:w="3628"/>
            <w:vAlign w:val="center"/>
            <w:tcMar>
              <w:top w:w="110" w:type="dxa"/>
              <w:start w:w="130" w:type="dxa"/>
              <w:bottom w:w="110" w:type="dxa"/>
              <w:end w:w="130" w:type="dxa"/>
            </w:tcMar>
          </w:tcPr>
          <w:p>
            <w:pPr>
              <w:jc w:val="left"/>
            </w:pPr>
            <w:r>
              <w:rPr>
                <w:sz w:val="19"/>
              </w:rPr>
              <w:t>Nested returns around a center</w:t>
            </w:r>
          </w:p>
        </w:tc>
        <w:tc>
          <w:tcPr>
            <w:tcW w:type="dxa" w:w="3061"/>
            <w:vAlign w:val="center"/>
            <w:tcMar>
              <w:top w:w="110" w:type="dxa"/>
              <w:start w:w="130" w:type="dxa"/>
              <w:bottom w:w="110" w:type="dxa"/>
              <w:end w:w="130" w:type="dxa"/>
            </w:tcMar>
          </w:tcPr>
          <w:p>
            <w:pPr>
              <w:jc w:val="left"/>
            </w:pPr>
            <w:r>
              <w:rPr>
                <w:sz w:val="19"/>
              </w:rPr>
              <w:t>A-B-C-C'-B'-A', center-pivot, chiastic frames</w:t>
            </w:r>
          </w:p>
        </w:tc>
      </w:tr>
      <w:tr>
        <w:tc>
          <w:tcPr>
            <w:tcW w:type="dxa" w:w="2381"/>
            <w:vAlign w:val="center"/>
            <w:tcMar>
              <w:top w:w="110" w:type="dxa"/>
              <w:start w:w="130" w:type="dxa"/>
              <w:bottom w:w="110" w:type="dxa"/>
              <w:end w:w="130" w:type="dxa"/>
            </w:tcMar>
            <w:shd w:fill="F9FBFE"/>
          </w:tcPr>
          <w:p>
            <w:pPr>
              <w:jc w:val="center"/>
            </w:pPr>
            <w:r>
              <w:rPr>
                <w:sz w:val="19"/>
              </w:rPr>
              <w:t>Diamond and mirror symmetry</w:t>
            </w:r>
          </w:p>
        </w:tc>
        <w:tc>
          <w:tcPr>
            <w:tcW w:type="dxa" w:w="3628"/>
            <w:vAlign w:val="center"/>
            <w:tcMar>
              <w:top w:w="110" w:type="dxa"/>
              <w:start w:w="130" w:type="dxa"/>
              <w:bottom w:w="110" w:type="dxa"/>
              <w:end w:w="130" w:type="dxa"/>
            </w:tcMar>
            <w:shd w:fill="F9FBFE"/>
          </w:tcPr>
          <w:p>
            <w:pPr>
              <w:jc w:val="left"/>
            </w:pPr>
            <w:r>
              <w:rPr>
                <w:sz w:val="19"/>
              </w:rPr>
              <w:t>Cross-balanced arrangements</w:t>
            </w:r>
          </w:p>
        </w:tc>
        <w:tc>
          <w:tcPr>
            <w:tcW w:type="dxa" w:w="3061"/>
            <w:vAlign w:val="center"/>
            <w:tcMar>
              <w:top w:w="110" w:type="dxa"/>
              <w:start w:w="130" w:type="dxa"/>
              <w:bottom w:w="110" w:type="dxa"/>
              <w:end w:w="130" w:type="dxa"/>
            </w:tcMar>
            <w:shd w:fill="F9FBFE"/>
          </w:tcPr>
          <w:p>
            <w:pPr>
              <w:jc w:val="left"/>
            </w:pPr>
            <w:r>
              <w:rPr>
                <w:sz w:val="19"/>
              </w:rPr>
              <w:t>Diamond composition, mirror panels, echo sections</w:t>
            </w:r>
          </w:p>
        </w:tc>
      </w:tr>
      <w:tr>
        <w:tc>
          <w:tcPr>
            <w:tcW w:type="dxa" w:w="2381"/>
            <w:vAlign w:val="center"/>
            <w:tcMar>
              <w:top w:w="110" w:type="dxa"/>
              <w:start w:w="130" w:type="dxa"/>
              <w:bottom w:w="110" w:type="dxa"/>
              <w:end w:w="130" w:type="dxa"/>
            </w:tcMar>
          </w:tcPr>
          <w:p>
            <w:pPr>
              <w:jc w:val="left"/>
            </w:pPr>
            <w:r>
              <w:rPr>
                <w:sz w:val="19"/>
              </w:rPr>
              <w:t>Linear and staircase progression</w:t>
            </w:r>
          </w:p>
        </w:tc>
        <w:tc>
          <w:tcPr>
            <w:tcW w:type="dxa" w:w="3628"/>
            <w:vAlign w:val="center"/>
            <w:tcMar>
              <w:top w:w="110" w:type="dxa"/>
              <w:start w:w="130" w:type="dxa"/>
              <w:bottom w:w="110" w:type="dxa"/>
              <w:end w:w="130" w:type="dxa"/>
            </w:tcMar>
          </w:tcPr>
          <w:p>
            <w:pPr>
              <w:jc w:val="left"/>
            </w:pPr>
            <w:r>
              <w:rPr>
                <w:sz w:val="19"/>
              </w:rPr>
              <w:t>Directional movement through escalating phases</w:t>
            </w:r>
          </w:p>
        </w:tc>
        <w:tc>
          <w:tcPr>
            <w:tcW w:type="dxa" w:w="3061"/>
            <w:vAlign w:val="center"/>
            <w:tcMar>
              <w:top w:w="110" w:type="dxa"/>
              <w:start w:w="130" w:type="dxa"/>
              <w:bottom w:w="110" w:type="dxa"/>
              <w:end w:w="130" w:type="dxa"/>
            </w:tcMar>
          </w:tcPr>
          <w:p>
            <w:pPr>
              <w:jc w:val="left"/>
            </w:pPr>
            <w:r>
              <w:rPr>
                <w:sz w:val="19"/>
              </w:rPr>
              <w:t>Escalation, descent/ascent, cumulative admonition</w:t>
            </w:r>
          </w:p>
        </w:tc>
      </w:tr>
      <w:tr>
        <w:tc>
          <w:tcPr>
            <w:tcW w:type="dxa" w:w="2381"/>
            <w:vAlign w:val="center"/>
            <w:tcMar>
              <w:top w:w="110" w:type="dxa"/>
              <w:start w:w="130" w:type="dxa"/>
              <w:bottom w:w="110" w:type="dxa"/>
              <w:end w:w="130" w:type="dxa"/>
            </w:tcMar>
            <w:shd w:fill="F9FBFE"/>
          </w:tcPr>
          <w:p>
            <w:pPr>
              <w:jc w:val="center"/>
            </w:pPr>
            <w:r>
              <w:rPr>
                <w:sz w:val="19"/>
              </w:rPr>
              <w:t>Parallel and contrast blocks</w:t>
            </w:r>
          </w:p>
        </w:tc>
        <w:tc>
          <w:tcPr>
            <w:tcW w:type="dxa" w:w="3628"/>
            <w:vAlign w:val="center"/>
            <w:tcMar>
              <w:top w:w="110" w:type="dxa"/>
              <w:start w:w="130" w:type="dxa"/>
              <w:bottom w:w="110" w:type="dxa"/>
              <w:end w:w="130" w:type="dxa"/>
            </w:tcMar>
            <w:shd w:fill="F9FBFE"/>
          </w:tcPr>
          <w:p>
            <w:pPr>
              <w:jc w:val="left"/>
            </w:pPr>
            <w:r>
              <w:rPr>
                <w:sz w:val="19"/>
              </w:rPr>
              <w:t>Paired or oppositional segments</w:t>
            </w:r>
          </w:p>
        </w:tc>
        <w:tc>
          <w:tcPr>
            <w:tcW w:type="dxa" w:w="3061"/>
            <w:vAlign w:val="center"/>
            <w:tcMar>
              <w:top w:w="110" w:type="dxa"/>
              <w:start w:w="130" w:type="dxa"/>
              <w:bottom w:w="110" w:type="dxa"/>
              <w:end w:w="130" w:type="dxa"/>
            </w:tcMar>
            <w:shd w:fill="F9FBFE"/>
          </w:tcPr>
          <w:p>
            <w:pPr>
              <w:jc w:val="left"/>
            </w:pPr>
            <w:r>
              <w:rPr>
                <w:sz w:val="19"/>
              </w:rPr>
              <w:t>Promise/warning, believer/disbeliever, inner/outer</w:t>
            </w:r>
          </w:p>
        </w:tc>
      </w:tr>
      <w:tr>
        <w:tc>
          <w:tcPr>
            <w:tcW w:type="dxa" w:w="2381"/>
            <w:vAlign w:val="center"/>
            <w:tcMar>
              <w:top w:w="110" w:type="dxa"/>
              <w:start w:w="130" w:type="dxa"/>
              <w:bottom w:w="110" w:type="dxa"/>
              <w:end w:w="130" w:type="dxa"/>
            </w:tcMar>
          </w:tcPr>
          <w:p>
            <w:pPr>
              <w:jc w:val="center"/>
            </w:pPr>
            <w:r>
              <w:rPr>
                <w:sz w:val="19"/>
              </w:rPr>
              <w:t>Clustered motifs</w:t>
            </w:r>
          </w:p>
        </w:tc>
        <w:tc>
          <w:tcPr>
            <w:tcW w:type="dxa" w:w="3628"/>
            <w:vAlign w:val="center"/>
            <w:tcMar>
              <w:top w:w="110" w:type="dxa"/>
              <w:start w:w="130" w:type="dxa"/>
              <w:bottom w:w="110" w:type="dxa"/>
              <w:end w:w="130" w:type="dxa"/>
            </w:tcMar>
          </w:tcPr>
          <w:p>
            <w:pPr>
              <w:jc w:val="left"/>
            </w:pPr>
            <w:r>
              <w:rPr>
                <w:sz w:val="19"/>
              </w:rPr>
              <w:t>Grouped recurrence and semantic constellations</w:t>
            </w:r>
          </w:p>
        </w:tc>
        <w:tc>
          <w:tcPr>
            <w:tcW w:type="dxa" w:w="3061"/>
            <w:vAlign w:val="center"/>
            <w:tcMar>
              <w:top w:w="110" w:type="dxa"/>
              <w:start w:w="130" w:type="dxa"/>
              <w:bottom w:w="110" w:type="dxa"/>
              <w:end w:w="130" w:type="dxa"/>
            </w:tcMar>
          </w:tcPr>
          <w:p>
            <w:pPr>
              <w:jc w:val="left"/>
            </w:pPr>
            <w:r>
              <w:rPr>
                <w:sz w:val="19"/>
              </w:rPr>
              <w:t>Joseph dream/plot/exaltation cluster, covenant clusters</w:t>
            </w:r>
          </w:p>
        </w:tc>
      </w:tr>
      <w:tr>
        <w:tc>
          <w:tcPr>
            <w:tcW w:type="dxa" w:w="2381"/>
            <w:vAlign w:val="center"/>
            <w:tcMar>
              <w:top w:w="110" w:type="dxa"/>
              <w:start w:w="130" w:type="dxa"/>
              <w:bottom w:w="110" w:type="dxa"/>
              <w:end w:w="130" w:type="dxa"/>
            </w:tcMar>
            <w:shd w:fill="F9FBFE"/>
          </w:tcPr>
          <w:p>
            <w:pPr>
              <w:jc w:val="center"/>
            </w:pPr>
            <w:r>
              <w:rPr>
                <w:sz w:val="19"/>
              </w:rPr>
              <w:t>Sonic architecture</w:t>
            </w:r>
          </w:p>
        </w:tc>
        <w:tc>
          <w:tcPr>
            <w:tcW w:type="dxa" w:w="3628"/>
            <w:vAlign w:val="center"/>
            <w:tcMar>
              <w:top w:w="110" w:type="dxa"/>
              <w:start w:w="130" w:type="dxa"/>
              <w:bottom w:w="110" w:type="dxa"/>
              <w:end w:w="130" w:type="dxa"/>
            </w:tcMar>
            <w:shd w:fill="F9FBFE"/>
          </w:tcPr>
          <w:p>
            <w:pPr>
              <w:jc w:val="left"/>
            </w:pPr>
            <w:r>
              <w:rPr>
                <w:sz w:val="19"/>
              </w:rPr>
              <w:t>Rhyme, fawasil, cadence, and closure sound maps</w:t>
            </w:r>
          </w:p>
        </w:tc>
        <w:tc>
          <w:tcPr>
            <w:tcW w:type="dxa" w:w="3061"/>
            <w:vAlign w:val="center"/>
            <w:tcMar>
              <w:top w:w="110" w:type="dxa"/>
              <w:start w:w="130" w:type="dxa"/>
              <w:bottom w:w="110" w:type="dxa"/>
              <w:end w:w="130" w:type="dxa"/>
            </w:tcMar>
            <w:shd w:fill="F9FBFE"/>
          </w:tcPr>
          <w:p>
            <w:pPr>
              <w:jc w:val="left"/>
            </w:pPr>
            <w:r>
              <w:rPr>
                <w:sz w:val="19"/>
              </w:rPr>
              <w:t>Rhyme bands, cadence turns, closing echoes</w:t>
            </w:r>
          </w:p>
        </w:tc>
      </w:tr>
    </w:tbl>
    <w:p/>
    <w:p>
      <w:pPr>
        <w:pStyle w:val="Heading2"/>
      </w:pPr>
      <w:r>
        <w:t>Motifs, clusters, symmetry, and rhyme</w:t>
      </w:r>
    </w:p>
    <w:p>
      <w:pPr>
        <w:pStyle w:val="ListBullet"/>
        <w:spacing w:after="40"/>
        <w:ind w:left="0"/>
      </w:pPr>
      <w:r>
        <w:rPr>
          <w:sz w:val="20"/>
        </w:rPr>
        <w:t>Motifs must not be stored merely as labels on individual verses; they must be allowed to form surah-wide recurrence profiles and clustered returns.</w:t>
      </w:r>
    </w:p>
    <w:p>
      <w:pPr>
        <w:pStyle w:val="ListBullet"/>
        <w:spacing w:after="40"/>
        <w:ind w:left="0"/>
      </w:pPr>
      <w:r>
        <w:rPr>
          <w:sz w:val="20"/>
        </w:rPr>
        <w:t>Structural symmetries must allow multiple coexisting readings, because a surah may admit more than one legitimate pattern map.</w:t>
      </w:r>
    </w:p>
    <w:p>
      <w:pPr>
        <w:pStyle w:val="ListBullet"/>
        <w:spacing w:after="40"/>
        <w:ind w:left="0"/>
      </w:pPr>
      <w:r>
        <w:rPr>
          <w:sz w:val="20"/>
        </w:rPr>
        <w:t>Diamond, ring, mirror, staircase, and parallel-panel interpretations should be modeled as explicit structural reading types rather than hidden inside analysis JSON.</w:t>
      </w:r>
    </w:p>
    <w:p>
      <w:pPr>
        <w:pStyle w:val="ListBullet"/>
        <w:spacing w:after="40"/>
        <w:ind w:left="0"/>
      </w:pPr>
      <w:r>
        <w:rPr>
          <w:sz w:val="20"/>
        </w:rPr>
        <w:t>Rhyme and fawasil are not decorative metadata. They are part of the surah's rhetorical and sonic operating system and should be queryable as evidence.</w:t>
      </w:r>
    </w:p>
    <w:tbl>
      <w:tblPr>
        <w:tblW w:type="auto" w:w="0"/>
        <w:jc w:val="center"/>
        <w:tblLayout w:type="autofit"/>
        <w:tblLook w:firstColumn="1" w:firstRow="1" w:lastColumn="0" w:lastRow="0" w:noHBand="0" w:noVBand="1" w:val="04A0"/>
      </w:tblPr>
      <w:tblGrid>
        <w:gridCol w:w="9525"/>
      </w:tblGrid>
      <w:tr>
        <w:tc>
          <w:tcPr>
            <w:tcW w:type="dxa" w:w="9525"/>
            <w:shd w:fill="F4F8FC"/>
            <w:tcMar>
              <w:top w:w="140" w:type="dxa"/>
              <w:start w:w="180" w:type="dxa"/>
              <w:bottom w:w="140" w:type="dxa"/>
              <w:end w:w="180" w:type="dxa"/>
            </w:tcMar>
          </w:tcPr>
          <w:p>
            <w:r>
              <w:rPr>
                <w:b/>
                <w:color w:val="1F4E79"/>
                <w:sz w:val="21"/>
              </w:rPr>
              <w:t>Design implication</w:t>
              <w:br/>
            </w:r>
            <w:r>
              <w:rPr>
                <w:color w:val="222222"/>
                <w:sz w:val="20"/>
              </w:rPr>
              <w:t>Passage maps, ring maps, motif maps, worldview maps, and pairing diagrams may still exist as rendered assets, but the pattern logic that generates them must be normalized in QR. JSON summaries can remain as caches or editorial surfaces; they must not remain the only durable record of structure.</w:t>
            </w:r>
          </w:p>
        </w:tc>
      </w:tr>
    </w:tbl>
    <w:p/>
    <w:p>
      <w:pPr>
        <w:pStyle w:val="Heading2"/>
      </w:pPr>
      <w:r>
        <w:t>Sentence-level and clause-level nuance</w:t>
      </w:r>
    </w:p>
    <w:p>
      <w:r>
        <w:t>km_quran must go deeper than morphology. It needs sentence and clause intelligence that can explain how local wording participates in the surah's global movement.</w:t>
      </w:r>
    </w:p>
    <w:tbl>
      <w:tblPr>
        <w:tblStyle w:val="TableGrid"/>
        <w:tblW w:type="auto" w:w="0"/>
        <w:jc w:val="center"/>
        <w:tblLayout w:type="fixed"/>
        <w:tblLook w:firstColumn="1" w:firstRow="1" w:lastColumn="0" w:lastRow="0" w:noHBand="0" w:noVBand="1" w:val="04A0"/>
      </w:tblPr>
      <w:tblGrid>
        <w:gridCol w:w="4762"/>
        <w:gridCol w:w="4762"/>
      </w:tblGrid>
      <w:tr>
        <w:trPr>
          <w:tblHeader w:val="true"/>
        </w:trPr>
        <w:tc>
          <w:tcPr>
            <w:tcW w:type="dxa" w:w="2381"/>
            <w:vAlign w:val="center"/>
            <w:shd w:fill="DCE6F1"/>
            <w:tcMar>
              <w:top w:w="120" w:type="dxa"/>
              <w:start w:w="150" w:type="dxa"/>
              <w:bottom w:w="120" w:type="dxa"/>
              <w:end w:w="150" w:type="dxa"/>
            </w:tcMar>
          </w:tcPr>
          <w:p>
            <w:pPr>
              <w:jc w:val="center"/>
            </w:pPr>
            <w:r>
              <w:rPr>
                <w:b/>
                <w:color w:val="1F4E79"/>
                <w:sz w:val="19"/>
              </w:rPr>
              <w:t>Nuance family</w:t>
            </w:r>
          </w:p>
        </w:tc>
        <w:tc>
          <w:tcPr>
            <w:tcW w:type="dxa" w:w="6690"/>
            <w:vAlign w:val="center"/>
            <w:shd w:fill="DCE6F1"/>
            <w:tcMar>
              <w:top w:w="120" w:type="dxa"/>
              <w:start w:w="150" w:type="dxa"/>
              <w:bottom w:w="120" w:type="dxa"/>
              <w:end w:w="150" w:type="dxa"/>
            </w:tcMar>
          </w:tcPr>
          <w:p>
            <w:pPr>
              <w:jc w:val="center"/>
            </w:pPr>
            <w:r>
              <w:rPr>
                <w:b/>
                <w:color w:val="1F4E79"/>
                <w:sz w:val="19"/>
              </w:rPr>
              <w:t>Questions it should answer</w:t>
            </w:r>
          </w:p>
        </w:tc>
      </w:tr>
      <w:tr>
        <w:tc>
          <w:tcPr>
            <w:tcW w:type="dxa" w:w="2381"/>
            <w:vAlign w:val="center"/>
            <w:tcMar>
              <w:top w:w="110" w:type="dxa"/>
              <w:start w:w="130" w:type="dxa"/>
              <w:bottom w:w="110" w:type="dxa"/>
              <w:end w:w="130" w:type="dxa"/>
            </w:tcMar>
            <w:shd w:fill="F9FBFE"/>
          </w:tcPr>
          <w:p>
            <w:pPr>
              <w:jc w:val="center"/>
            </w:pPr>
            <w:r>
              <w:rPr>
                <w:sz w:val="19"/>
              </w:rPr>
              <w:t>Clause patterns</w:t>
            </w:r>
          </w:p>
        </w:tc>
        <w:tc>
          <w:tcPr>
            <w:tcW w:type="dxa" w:w="6690"/>
            <w:vAlign w:val="center"/>
            <w:tcMar>
              <w:top w:w="110" w:type="dxa"/>
              <w:start w:w="130" w:type="dxa"/>
              <w:bottom w:w="110" w:type="dxa"/>
              <w:end w:w="130" w:type="dxa"/>
            </w:tcMar>
            <w:shd w:fill="F9FBFE"/>
          </w:tcPr>
          <w:p>
            <w:pPr>
              <w:jc w:val="left"/>
            </w:pPr>
            <w:r>
              <w:rPr>
                <w:sz w:val="19"/>
              </w:rPr>
              <w:t>Is the surah narrative-heavy, argumentative, exhortative, oath-driven, or compressed?</w:t>
            </w:r>
          </w:p>
        </w:tc>
      </w:tr>
      <w:tr>
        <w:tc>
          <w:tcPr>
            <w:tcW w:type="dxa" w:w="2381"/>
            <w:vAlign w:val="center"/>
            <w:tcMar>
              <w:top w:w="110" w:type="dxa"/>
              <w:start w:w="130" w:type="dxa"/>
              <w:bottom w:w="110" w:type="dxa"/>
              <w:end w:w="130" w:type="dxa"/>
            </w:tcMar>
          </w:tcPr>
          <w:p>
            <w:pPr>
              <w:jc w:val="center"/>
            </w:pPr>
            <w:r>
              <w:rPr>
                <w:sz w:val="19"/>
              </w:rPr>
              <w:t>Register shifts</w:t>
            </w:r>
          </w:p>
        </w:tc>
        <w:tc>
          <w:tcPr>
            <w:tcW w:type="dxa" w:w="6690"/>
            <w:vAlign w:val="center"/>
            <w:tcMar>
              <w:top w:w="110" w:type="dxa"/>
              <w:start w:w="130" w:type="dxa"/>
              <w:bottom w:w="110" w:type="dxa"/>
              <w:end w:w="130" w:type="dxa"/>
            </w:tcMar>
          </w:tcPr>
          <w:p>
            <w:pPr>
              <w:jc w:val="left"/>
            </w:pPr>
            <w:r>
              <w:rPr>
                <w:sz w:val="19"/>
              </w:rPr>
              <w:t>Where does the surah shift addressee, emotional temperature, pace, or discourse mode?</w:t>
            </w:r>
          </w:p>
        </w:tc>
      </w:tr>
      <w:tr>
        <w:tc>
          <w:tcPr>
            <w:tcW w:type="dxa" w:w="2381"/>
            <w:vAlign w:val="center"/>
            <w:tcMar>
              <w:top w:w="110" w:type="dxa"/>
              <w:start w:w="130" w:type="dxa"/>
              <w:bottom w:w="110" w:type="dxa"/>
              <w:end w:w="130" w:type="dxa"/>
            </w:tcMar>
            <w:shd w:fill="F9FBFE"/>
          </w:tcPr>
          <w:p>
            <w:pPr>
              <w:jc w:val="center"/>
            </w:pPr>
            <w:r>
              <w:rPr>
                <w:sz w:val="19"/>
              </w:rPr>
              <w:t>Ellipsis and compression</w:t>
            </w:r>
          </w:p>
        </w:tc>
        <w:tc>
          <w:tcPr>
            <w:tcW w:type="dxa" w:w="6690"/>
            <w:vAlign w:val="center"/>
            <w:tcMar>
              <w:top w:w="110" w:type="dxa"/>
              <w:start w:w="130" w:type="dxa"/>
              <w:bottom w:w="110" w:type="dxa"/>
              <w:end w:w="130" w:type="dxa"/>
            </w:tcMar>
            <w:shd w:fill="F9FBFE"/>
          </w:tcPr>
          <w:p>
            <w:pPr>
              <w:jc w:val="left"/>
            </w:pPr>
            <w:r>
              <w:rPr>
                <w:sz w:val="19"/>
              </w:rPr>
              <w:t>Where is meaning intensified through omission, sudden transition, or compressed allusion?</w:t>
            </w:r>
          </w:p>
        </w:tc>
      </w:tr>
      <w:tr>
        <w:tc>
          <w:tcPr>
            <w:tcW w:type="dxa" w:w="2381"/>
            <w:vAlign w:val="center"/>
            <w:tcMar>
              <w:top w:w="110" w:type="dxa"/>
              <w:start w:w="130" w:type="dxa"/>
              <w:bottom w:w="110" w:type="dxa"/>
              <w:end w:w="130" w:type="dxa"/>
            </w:tcMar>
          </w:tcPr>
          <w:p>
            <w:pPr>
              <w:jc w:val="center"/>
            </w:pPr>
            <w:r>
              <w:rPr>
                <w:sz w:val="19"/>
              </w:rPr>
              <w:t>Emphasis patterns</w:t>
            </w:r>
          </w:p>
        </w:tc>
        <w:tc>
          <w:tcPr>
            <w:tcW w:type="dxa" w:w="6690"/>
            <w:vAlign w:val="center"/>
            <w:tcMar>
              <w:top w:w="110" w:type="dxa"/>
              <w:start w:w="130" w:type="dxa"/>
              <w:bottom w:w="110" w:type="dxa"/>
              <w:end w:w="130" w:type="dxa"/>
            </w:tcMar>
          </w:tcPr>
          <w:p>
            <w:pPr>
              <w:jc w:val="left"/>
            </w:pPr>
            <w:r>
              <w:rPr>
                <w:sz w:val="19"/>
              </w:rPr>
              <w:t>Where do particles, repetition, ordering, or definiteness create force?</w:t>
            </w:r>
          </w:p>
        </w:tc>
      </w:tr>
      <w:tr>
        <w:tc>
          <w:tcPr>
            <w:tcW w:type="dxa" w:w="2381"/>
            <w:vAlign w:val="center"/>
            <w:tcMar>
              <w:top w:w="110" w:type="dxa"/>
              <w:start w:w="130" w:type="dxa"/>
              <w:bottom w:w="110" w:type="dxa"/>
              <w:end w:w="130" w:type="dxa"/>
            </w:tcMar>
            <w:shd w:fill="F9FBFE"/>
          </w:tcPr>
          <w:p>
            <w:pPr>
              <w:jc w:val="center"/>
            </w:pPr>
            <w:r>
              <w:rPr>
                <w:sz w:val="19"/>
              </w:rPr>
              <w:t>Sentence rhetoric</w:t>
            </w:r>
          </w:p>
        </w:tc>
        <w:tc>
          <w:tcPr>
            <w:tcW w:type="dxa" w:w="6690"/>
            <w:vAlign w:val="center"/>
            <w:tcMar>
              <w:top w:w="110" w:type="dxa"/>
              <w:start w:w="130" w:type="dxa"/>
              <w:bottom w:w="110" w:type="dxa"/>
              <w:end w:w="130" w:type="dxa"/>
            </w:tcMar>
            <w:shd w:fill="F9FBFE"/>
          </w:tcPr>
          <w:p>
            <w:pPr>
              <w:jc w:val="left"/>
            </w:pPr>
            <w:r>
              <w:rPr>
                <w:sz w:val="19"/>
              </w:rPr>
              <w:t>How do sentence units support suspense, contrast, release, warning, consolation, or climax?</w:t>
            </w:r>
          </w:p>
        </w:tc>
      </w:tr>
      <w:tr>
        <w:tc>
          <w:tcPr>
            <w:tcW w:type="dxa" w:w="2381"/>
            <w:vAlign w:val="center"/>
            <w:tcMar>
              <w:top w:w="110" w:type="dxa"/>
              <w:start w:w="130" w:type="dxa"/>
              <w:bottom w:w="110" w:type="dxa"/>
              <w:end w:w="130" w:type="dxa"/>
            </w:tcMar>
          </w:tcPr>
          <w:p>
            <w:pPr>
              <w:jc w:val="center"/>
            </w:pPr>
            <w:r>
              <w:rPr>
                <w:sz w:val="19"/>
              </w:rPr>
              <w:t>Lexical texture</w:t>
            </w:r>
          </w:p>
        </w:tc>
        <w:tc>
          <w:tcPr>
            <w:tcW w:type="dxa" w:w="6690"/>
            <w:vAlign w:val="center"/>
            <w:tcMar>
              <w:top w:w="110" w:type="dxa"/>
              <w:start w:w="130" w:type="dxa"/>
              <w:bottom w:w="110" w:type="dxa"/>
              <w:end w:w="130" w:type="dxa"/>
            </w:tcMar>
          </w:tcPr>
          <w:p>
            <w:pPr>
              <w:jc w:val="left"/>
            </w:pPr>
            <w:r>
              <w:rPr>
                <w:sz w:val="19"/>
              </w:rPr>
              <w:t>What recurring roots, expressions, semantic fields, and imagistic clusters define the surah?</w:t>
            </w:r>
          </w:p>
        </w:tc>
      </w:tr>
    </w:tbl>
    <w:p/>
    <w:p>
      <w:pPr>
        <w:pStyle w:val="Heading1"/>
      </w:pPr>
      <w:r>
        <w:t>4. Worldview, ontology, and value architecture</w:t>
      </w:r>
    </w:p>
    <w:p>
      <w:r>
        <w:t>km_quran must have its own internal worldview system. The Qur'an's worldview cannot be externalized into the general worldview module if QR is to remain the canonical owner of Qur'anic reasoning.</w:t>
      </w:r>
    </w:p>
    <w:p>
      <w:pPr>
        <w:pStyle w:val="Heading2"/>
      </w:pPr>
      <w:r>
        <w:t>The critical distinction</w:t>
      </w:r>
    </w:p>
    <w:tbl>
      <w:tblPr>
        <w:tblStyle w:val="TableGrid"/>
        <w:tblW w:type="auto" w:w="0"/>
        <w:jc w:val="center"/>
        <w:tblLayout w:type="fixed"/>
        <w:tblLook w:firstColumn="1" w:firstRow="1" w:lastColumn="0" w:lastRow="0" w:noHBand="0" w:noVBand="1" w:val="04A0"/>
      </w:tblPr>
      <w:tblGrid>
        <w:gridCol w:w="4762"/>
        <w:gridCol w:w="4762"/>
      </w:tblGrid>
      <w:tr>
        <w:trPr>
          <w:tblHeader w:val="true"/>
        </w:trPr>
        <w:tc>
          <w:tcPr>
            <w:tcW w:type="dxa" w:w="2268"/>
            <w:vAlign w:val="center"/>
            <w:shd w:fill="DCE6F1"/>
            <w:tcMar>
              <w:top w:w="120" w:type="dxa"/>
              <w:start w:w="150" w:type="dxa"/>
              <w:bottom w:w="120" w:type="dxa"/>
              <w:end w:w="150" w:type="dxa"/>
            </w:tcMar>
          </w:tcPr>
          <w:p>
            <w:pPr>
              <w:jc w:val="center"/>
            </w:pPr>
            <w:r>
              <w:rPr>
                <w:b/>
                <w:color w:val="1F4E79"/>
                <w:sz w:val="19"/>
              </w:rPr>
              <w:t>Layer</w:t>
            </w:r>
          </w:p>
        </w:tc>
        <w:tc>
          <w:tcPr>
            <w:tcW w:type="dxa" w:w="6803"/>
            <w:vAlign w:val="center"/>
            <w:shd w:fill="DCE6F1"/>
            <w:tcMar>
              <w:top w:w="120" w:type="dxa"/>
              <w:start w:w="150" w:type="dxa"/>
              <w:bottom w:w="120" w:type="dxa"/>
              <w:end w:w="150" w:type="dxa"/>
            </w:tcMar>
          </w:tcPr>
          <w:p>
            <w:pPr>
              <w:jc w:val="center"/>
            </w:pPr>
            <w:r>
              <w:rPr>
                <w:b/>
                <w:color w:val="1F4E79"/>
                <w:sz w:val="19"/>
              </w:rPr>
              <w:t>Role</w:t>
            </w:r>
          </w:p>
        </w:tc>
      </w:tr>
      <w:tr>
        <w:tc>
          <w:tcPr>
            <w:tcW w:type="dxa" w:w="2268"/>
            <w:vAlign w:val="center"/>
            <w:tcMar>
              <w:top w:w="110" w:type="dxa"/>
              <w:start w:w="130" w:type="dxa"/>
              <w:bottom w:w="110" w:type="dxa"/>
              <w:end w:w="130" w:type="dxa"/>
            </w:tcMar>
            <w:shd w:fill="F9FBFE"/>
          </w:tcPr>
          <w:p>
            <w:pPr>
              <w:jc w:val="center"/>
            </w:pPr>
            <w:r>
              <w:rPr>
                <w:sz w:val="19"/>
              </w:rPr>
              <w:t>QR worldview</w:t>
            </w:r>
          </w:p>
        </w:tc>
        <w:tc>
          <w:tcPr>
            <w:tcW w:type="dxa" w:w="6803"/>
            <w:vAlign w:val="center"/>
            <w:tcMar>
              <w:top w:w="110" w:type="dxa"/>
              <w:start w:w="130" w:type="dxa"/>
              <w:bottom w:w="110" w:type="dxa"/>
              <w:end w:w="130" w:type="dxa"/>
            </w:tcMar>
            <w:shd w:fill="F9FBFE"/>
          </w:tcPr>
          <w:p>
            <w:pPr>
              <w:jc w:val="left"/>
            </w:pPr>
            <w:r>
              <w:rPr>
                <w:sz w:val="19"/>
              </w:rPr>
              <w:t>Qur'an-internal worldview ontology: concepts, tensions, resolutions, moral universe, anthropologies, value architecture, and Qur'an-native graph projections.</w:t>
            </w:r>
          </w:p>
        </w:tc>
      </w:tr>
      <w:tr>
        <w:tc>
          <w:tcPr>
            <w:tcW w:type="dxa" w:w="2268"/>
            <w:vAlign w:val="center"/>
            <w:tcMar>
              <w:top w:w="110" w:type="dxa"/>
              <w:start w:w="130" w:type="dxa"/>
              <w:bottom w:w="110" w:type="dxa"/>
              <w:end w:w="130" w:type="dxa"/>
            </w:tcMar>
          </w:tcPr>
          <w:p>
            <w:pPr>
              <w:jc w:val="center"/>
            </w:pPr>
            <w:r>
              <w:rPr>
                <w:sz w:val="19"/>
              </w:rPr>
              <w:t>WV worldview</w:t>
            </w:r>
          </w:p>
        </w:tc>
        <w:tc>
          <w:tcPr>
            <w:tcW w:type="dxa" w:w="6803"/>
            <w:vAlign w:val="center"/>
            <w:tcMar>
              <w:top w:w="110" w:type="dxa"/>
              <w:start w:w="130" w:type="dxa"/>
              <w:bottom w:w="110" w:type="dxa"/>
              <w:end w:w="130" w:type="dxa"/>
            </w:tcMar>
          </w:tcPr>
          <w:p>
            <w:pPr>
              <w:jc w:val="left"/>
            </w:pPr>
            <w:r>
              <w:rPr>
                <w:sz w:val="19"/>
              </w:rPr>
              <w:t>Cross-corpus and civilizational comparative graph: broader thinker networks, external traditions, cross-domain comparisons, and public exploration surfaces.</w:t>
            </w:r>
          </w:p>
        </w:tc>
      </w:tr>
    </w:tbl>
    <w:p/>
    <w:p>
      <w:pPr>
        <w:pStyle w:val="ListBullet"/>
        <w:spacing w:after="40"/>
        <w:ind w:left="0"/>
      </w:pPr>
      <w:r>
        <w:rPr>
          <w:sz w:val="20"/>
        </w:rPr>
        <w:t>QR should store worldview concepts, value axes, anthropological claims, moral tensions, and divine-human relation models.</w:t>
      </w:r>
    </w:p>
    <w:p>
      <w:pPr>
        <w:pStyle w:val="ListBullet"/>
        <w:spacing w:after="40"/>
        <w:ind w:left="0"/>
      </w:pPr>
      <w:r>
        <w:rPr>
          <w:sz w:val="20"/>
        </w:rPr>
        <w:t>WV may still consume selected QR outputs, but QR remains the origin and authority for those outputs.</w:t>
      </w:r>
    </w:p>
    <w:p>
      <w:pPr>
        <w:pStyle w:val="ListBullet"/>
        <w:spacing w:after="40"/>
        <w:ind w:left="0"/>
      </w:pPr>
      <w:r>
        <w:rPr>
          <w:sz w:val="20"/>
        </w:rPr>
        <w:t>This split protects both systems: QR keeps semantic rigor, and WV remains free to compare across domains without owning Qur'anic truth.</w:t>
      </w:r>
    </w:p>
    <w:p>
      <w:pPr>
        <w:pStyle w:val="Heading2"/>
      </w:pPr>
      <w:r>
        <w:t>What the internal worldview layer should express</w:t>
      </w:r>
    </w:p>
    <w:tbl>
      <w:tblPr>
        <w:tblStyle w:val="TableGrid"/>
        <w:tblW w:type="auto" w:w="0"/>
        <w:jc w:val="center"/>
        <w:tblLayout w:type="fixed"/>
        <w:tblLook w:firstColumn="1" w:firstRow="1" w:lastColumn="0" w:lastRow="0" w:noHBand="0" w:noVBand="1" w:val="04A0"/>
      </w:tblPr>
      <w:tblGrid>
        <w:gridCol w:w="4762"/>
        <w:gridCol w:w="4762"/>
      </w:tblGrid>
      <w:tr>
        <w:trPr>
          <w:tblHeader w:val="true"/>
        </w:trPr>
        <w:tc>
          <w:tcPr>
            <w:tcW w:type="dxa" w:w="2324"/>
            <w:vAlign w:val="center"/>
            <w:shd w:fill="DCE6F1"/>
            <w:tcMar>
              <w:top w:w="120" w:type="dxa"/>
              <w:start w:w="150" w:type="dxa"/>
              <w:bottom w:w="120" w:type="dxa"/>
              <w:end w:w="150" w:type="dxa"/>
            </w:tcMar>
          </w:tcPr>
          <w:p>
            <w:pPr>
              <w:jc w:val="center"/>
            </w:pPr>
            <w:r>
              <w:rPr>
                <w:b/>
                <w:color w:val="1F4E79"/>
                <w:sz w:val="19"/>
              </w:rPr>
              <w:t>Concern</w:t>
            </w:r>
          </w:p>
        </w:tc>
        <w:tc>
          <w:tcPr>
            <w:tcW w:type="dxa" w:w="6746"/>
            <w:vAlign w:val="center"/>
            <w:shd w:fill="DCE6F1"/>
            <w:tcMar>
              <w:top w:w="120" w:type="dxa"/>
              <w:start w:w="150" w:type="dxa"/>
              <w:bottom w:w="120" w:type="dxa"/>
              <w:end w:w="150" w:type="dxa"/>
            </w:tcMar>
          </w:tcPr>
          <w:p>
            <w:pPr>
              <w:jc w:val="center"/>
            </w:pPr>
            <w:r>
              <w:rPr>
                <w:b/>
                <w:color w:val="1F4E79"/>
                <w:sz w:val="19"/>
              </w:rPr>
              <w:t>Examples of canonical QR expression</w:t>
            </w:r>
          </w:p>
        </w:tc>
      </w:tr>
      <w:tr>
        <w:tc>
          <w:tcPr>
            <w:tcW w:type="dxa" w:w="2324"/>
            <w:vAlign w:val="center"/>
            <w:tcMar>
              <w:top w:w="110" w:type="dxa"/>
              <w:start w:w="130" w:type="dxa"/>
              <w:bottom w:w="110" w:type="dxa"/>
              <w:end w:w="130" w:type="dxa"/>
            </w:tcMar>
            <w:shd w:fill="F9FBFE"/>
          </w:tcPr>
          <w:p>
            <w:pPr>
              <w:jc w:val="center"/>
            </w:pPr>
            <w:r>
              <w:rPr>
                <w:sz w:val="19"/>
              </w:rPr>
              <w:t>Anthropology</w:t>
            </w:r>
          </w:p>
        </w:tc>
        <w:tc>
          <w:tcPr>
            <w:tcW w:type="dxa" w:w="6746"/>
            <w:vAlign w:val="center"/>
            <w:tcMar>
              <w:top w:w="110" w:type="dxa"/>
              <w:start w:w="130" w:type="dxa"/>
              <w:bottom w:w="110" w:type="dxa"/>
              <w:end w:w="130" w:type="dxa"/>
            </w:tcMar>
            <w:shd w:fill="F9FBFE"/>
          </w:tcPr>
          <w:p>
            <w:pPr>
              <w:jc w:val="left"/>
            </w:pPr>
            <w:r>
              <w:rPr>
                <w:sz w:val="19"/>
              </w:rPr>
              <w:t>Human weakness, aspiration, envy, repentance, patience, self-deception, dignity, vicegerency.</w:t>
            </w:r>
          </w:p>
        </w:tc>
      </w:tr>
      <w:tr>
        <w:tc>
          <w:tcPr>
            <w:tcW w:type="dxa" w:w="2324"/>
            <w:vAlign w:val="center"/>
            <w:tcMar>
              <w:top w:w="110" w:type="dxa"/>
              <w:start w:w="130" w:type="dxa"/>
              <w:bottom w:w="110" w:type="dxa"/>
              <w:end w:w="130" w:type="dxa"/>
            </w:tcMar>
          </w:tcPr>
          <w:p>
            <w:pPr>
              <w:jc w:val="center"/>
            </w:pPr>
            <w:r>
              <w:rPr>
                <w:sz w:val="19"/>
              </w:rPr>
              <w:t>Value architecture</w:t>
            </w:r>
          </w:p>
        </w:tc>
        <w:tc>
          <w:tcPr>
            <w:tcW w:type="dxa" w:w="6746"/>
            <w:vAlign w:val="center"/>
            <w:tcMar>
              <w:top w:w="110" w:type="dxa"/>
              <w:start w:w="130" w:type="dxa"/>
              <w:bottom w:w="110" w:type="dxa"/>
              <w:end w:w="130" w:type="dxa"/>
            </w:tcMar>
          </w:tcPr>
          <w:p>
            <w:pPr>
              <w:jc w:val="left"/>
            </w:pPr>
            <w:r>
              <w:rPr>
                <w:sz w:val="19"/>
              </w:rPr>
              <w:t>Truth, justice, mercy, loyalty, family order, sacred order, authority, responsibility, accountability.</w:t>
            </w:r>
          </w:p>
        </w:tc>
      </w:tr>
      <w:tr>
        <w:tc>
          <w:tcPr>
            <w:tcW w:type="dxa" w:w="2324"/>
            <w:vAlign w:val="center"/>
            <w:tcMar>
              <w:top w:w="110" w:type="dxa"/>
              <w:start w:w="130" w:type="dxa"/>
              <w:bottom w:w="110" w:type="dxa"/>
              <w:end w:w="130" w:type="dxa"/>
            </w:tcMar>
            <w:shd w:fill="F9FBFE"/>
          </w:tcPr>
          <w:p>
            <w:pPr>
              <w:jc w:val="center"/>
            </w:pPr>
            <w:r>
              <w:rPr>
                <w:sz w:val="19"/>
              </w:rPr>
              <w:t>Moral universe</w:t>
            </w:r>
          </w:p>
        </w:tc>
        <w:tc>
          <w:tcPr>
            <w:tcW w:type="dxa" w:w="6746"/>
            <w:vAlign w:val="center"/>
            <w:tcMar>
              <w:top w:w="110" w:type="dxa"/>
              <w:start w:w="130" w:type="dxa"/>
              <w:bottom w:w="110" w:type="dxa"/>
              <w:end w:w="130" w:type="dxa"/>
            </w:tcMar>
            <w:shd w:fill="F9FBFE"/>
          </w:tcPr>
          <w:p>
            <w:pPr>
              <w:jc w:val="left"/>
            </w:pPr>
            <w:r>
              <w:rPr>
                <w:sz w:val="19"/>
              </w:rPr>
              <w:t>How reward and warning, seen and unseen, and worldly and eschatological horizons are arranged.</w:t>
            </w:r>
          </w:p>
        </w:tc>
      </w:tr>
      <w:tr>
        <w:tc>
          <w:tcPr>
            <w:tcW w:type="dxa" w:w="2324"/>
            <w:vAlign w:val="center"/>
            <w:tcMar>
              <w:top w:w="110" w:type="dxa"/>
              <w:start w:w="130" w:type="dxa"/>
              <w:bottom w:w="110" w:type="dxa"/>
              <w:end w:w="130" w:type="dxa"/>
            </w:tcMar>
          </w:tcPr>
          <w:p>
            <w:pPr>
              <w:jc w:val="center"/>
            </w:pPr>
            <w:r>
              <w:rPr>
                <w:sz w:val="19"/>
              </w:rPr>
              <w:t>Divine-human relation</w:t>
            </w:r>
          </w:p>
        </w:tc>
        <w:tc>
          <w:tcPr>
            <w:tcW w:type="dxa" w:w="6746"/>
            <w:vAlign w:val="center"/>
            <w:tcMar>
              <w:top w:w="110" w:type="dxa"/>
              <w:start w:w="130" w:type="dxa"/>
              <w:bottom w:w="110" w:type="dxa"/>
              <w:end w:w="130" w:type="dxa"/>
            </w:tcMar>
          </w:tcPr>
          <w:p>
            <w:pPr>
              <w:jc w:val="left"/>
            </w:pPr>
            <w:r>
              <w:rPr>
                <w:sz w:val="19"/>
              </w:rPr>
              <w:t>Guidance, providence, pedagogy, testing, agency, knowledge, covenant, and dependence.</w:t>
            </w:r>
          </w:p>
        </w:tc>
      </w:tr>
      <w:tr>
        <w:tc>
          <w:tcPr>
            <w:tcW w:type="dxa" w:w="2324"/>
            <w:vAlign w:val="center"/>
            <w:tcMar>
              <w:top w:w="110" w:type="dxa"/>
              <w:start w:w="130" w:type="dxa"/>
              <w:bottom w:w="110" w:type="dxa"/>
              <w:end w:w="130" w:type="dxa"/>
            </w:tcMar>
            <w:shd w:fill="F9FBFE"/>
          </w:tcPr>
          <w:p>
            <w:pPr>
              <w:jc w:val="center"/>
            </w:pPr>
            <w:r>
              <w:rPr>
                <w:sz w:val="19"/>
              </w:rPr>
              <w:t>Worldview tensions</w:t>
            </w:r>
          </w:p>
        </w:tc>
        <w:tc>
          <w:tcPr>
            <w:tcW w:type="dxa" w:w="6746"/>
            <w:vAlign w:val="center"/>
            <w:tcMar>
              <w:top w:w="110" w:type="dxa"/>
              <w:start w:w="130" w:type="dxa"/>
              <w:bottom w:w="110" w:type="dxa"/>
              <w:end w:w="130" w:type="dxa"/>
            </w:tcMar>
            <w:shd w:fill="F9FBFE"/>
          </w:tcPr>
          <w:p>
            <w:pPr>
              <w:jc w:val="left"/>
            </w:pPr>
            <w:r>
              <w:rPr>
                <w:sz w:val="19"/>
              </w:rPr>
              <w:t>Power and vulnerability, hiddenness and disclosure, law and mercy, patience and action.</w:t>
            </w:r>
          </w:p>
        </w:tc>
      </w:tr>
    </w:tbl>
    <w:p/>
    <w:p>
      <w:pPr>
        <w:pStyle w:val="Heading1"/>
      </w:pPr>
      <w:r>
        <w:t>5. Scholarship, paradigms, and reception</w:t>
      </w:r>
    </w:p>
    <w:p>
      <w:r>
        <w:t>The surah must be able to carry its own reception history. QR should not stop at tafsir excerpts. It needs first-class scholar, work, paradigm, and reception families.</w:t>
      </w:r>
    </w:p>
    <w:p>
      <w:pPr>
        <w:pStyle w:val="Heading2"/>
      </w:pPr>
      <w:r>
        <w:t>Scholar-work-position model</w:t>
      </w:r>
    </w:p>
    <w:p>
      <w:pPr>
        <w:pStyle w:val="ListBullet"/>
        <w:spacing w:after="40"/>
        <w:ind w:left="0"/>
      </w:pPr>
      <w:r>
        <w:rPr>
          <w:sz w:val="20"/>
        </w:rPr>
        <w:t>Scholar profiles should identify thinkers, schools, periods, networks, and paradigm affiliations.</w:t>
      </w:r>
    </w:p>
    <w:p>
      <w:pPr>
        <w:pStyle w:val="ListBullet"/>
        <w:spacing w:after="40"/>
        <w:ind w:left="0"/>
      </w:pPr>
      <w:r>
        <w:rPr>
          <w:sz w:val="20"/>
        </w:rPr>
        <w:t>Work families should identify commentaries, treatises, academic monographs, articles, lectures, and editions.</w:t>
      </w:r>
    </w:p>
    <w:p>
      <w:pPr>
        <w:pStyle w:val="ListBullet"/>
        <w:spacing w:after="40"/>
        <w:ind w:left="0"/>
      </w:pPr>
      <w:r>
        <w:rPr>
          <w:sz w:val="20"/>
        </w:rPr>
        <w:t>Position records should identify the exact stance a scholar takes on a surah, passage, or topic.</w:t>
      </w:r>
    </w:p>
    <w:p>
      <w:pPr>
        <w:pStyle w:val="ListBullet"/>
        <w:spacing w:after="40"/>
        <w:ind w:left="0"/>
      </w:pPr>
      <w:r>
        <w:rPr>
          <w:sz w:val="20"/>
        </w:rPr>
        <w:t>Interpretive difference records should show how readings diverge in evidence, framing, division, and conclusion.</w:t>
      </w:r>
    </w:p>
    <w:p>
      <w:pPr>
        <w:pStyle w:val="Heading2"/>
      </w:pPr>
      <w:r>
        <w:t>Paradigms that QR must be able to model</w:t>
      </w:r>
    </w:p>
    <w:tbl>
      <w:tblPr>
        <w:tblStyle w:val="TableGrid"/>
        <w:tblW w:type="auto" w:w="0"/>
        <w:jc w:val="center"/>
        <w:tblLayout w:type="fixed"/>
        <w:tblLook w:firstColumn="1" w:firstRow="1" w:lastColumn="0" w:lastRow="0" w:noHBand="0" w:noVBand="1" w:val="04A0"/>
      </w:tblPr>
      <w:tblGrid>
        <w:gridCol w:w="4762"/>
        <w:gridCol w:w="4762"/>
      </w:tblGrid>
      <w:tr>
        <w:trPr>
          <w:tblHeader w:val="true"/>
        </w:trPr>
        <w:tc>
          <w:tcPr>
            <w:tcW w:type="dxa" w:w="2381"/>
            <w:vAlign w:val="center"/>
            <w:shd w:fill="DCE6F1"/>
            <w:tcMar>
              <w:top w:w="120" w:type="dxa"/>
              <w:start w:w="150" w:type="dxa"/>
              <w:bottom w:w="120" w:type="dxa"/>
              <w:end w:w="150" w:type="dxa"/>
            </w:tcMar>
          </w:tcPr>
          <w:p>
            <w:pPr>
              <w:jc w:val="center"/>
            </w:pPr>
            <w:r>
              <w:rPr>
                <w:b/>
                <w:color w:val="1F4E79"/>
                <w:sz w:val="19"/>
              </w:rPr>
              <w:t>Paradigm group</w:t>
            </w:r>
          </w:p>
        </w:tc>
        <w:tc>
          <w:tcPr>
            <w:tcW w:type="dxa" w:w="6690"/>
            <w:vAlign w:val="center"/>
            <w:shd w:fill="DCE6F1"/>
            <w:tcMar>
              <w:top w:w="120" w:type="dxa"/>
              <w:start w:w="150" w:type="dxa"/>
              <w:bottom w:w="120" w:type="dxa"/>
              <w:end w:w="150" w:type="dxa"/>
            </w:tcMar>
          </w:tcPr>
          <w:p>
            <w:pPr>
              <w:jc w:val="center"/>
            </w:pPr>
            <w:r>
              <w:rPr>
                <w:b/>
                <w:color w:val="1F4E79"/>
                <w:sz w:val="19"/>
              </w:rPr>
              <w:t>Why it matters inside QR</w:t>
            </w:r>
          </w:p>
        </w:tc>
      </w:tr>
      <w:tr>
        <w:tc>
          <w:tcPr>
            <w:tcW w:type="dxa" w:w="2381"/>
            <w:vAlign w:val="center"/>
            <w:tcMar>
              <w:top w:w="110" w:type="dxa"/>
              <w:start w:w="130" w:type="dxa"/>
              <w:bottom w:w="110" w:type="dxa"/>
              <w:end w:w="130" w:type="dxa"/>
            </w:tcMar>
            <w:shd w:fill="F9FBFE"/>
          </w:tcPr>
          <w:p>
            <w:pPr>
              <w:jc w:val="center"/>
            </w:pPr>
            <w:r>
              <w:rPr>
                <w:sz w:val="19"/>
              </w:rPr>
              <w:t>Classical tafsir</w:t>
            </w:r>
          </w:p>
        </w:tc>
        <w:tc>
          <w:tcPr>
            <w:tcW w:type="dxa" w:w="6690"/>
            <w:vAlign w:val="center"/>
            <w:tcMar>
              <w:top w:w="110" w:type="dxa"/>
              <w:start w:w="130" w:type="dxa"/>
              <w:bottom w:w="110" w:type="dxa"/>
              <w:end w:w="130" w:type="dxa"/>
            </w:tcMar>
            <w:shd w:fill="F9FBFE"/>
          </w:tcPr>
          <w:p>
            <w:pPr>
              <w:jc w:val="left"/>
            </w:pPr>
            <w:r>
              <w:rPr>
                <w:sz w:val="19"/>
              </w:rPr>
              <w:t>Provides stable inherited readings, unity claims, rhetorical insights, and theological framing.</w:t>
            </w:r>
          </w:p>
        </w:tc>
      </w:tr>
      <w:tr>
        <w:tc>
          <w:tcPr>
            <w:tcW w:type="dxa" w:w="2381"/>
            <w:vAlign w:val="center"/>
            <w:tcMar>
              <w:top w:w="110" w:type="dxa"/>
              <w:start w:w="130" w:type="dxa"/>
              <w:bottom w:w="110" w:type="dxa"/>
              <w:end w:w="130" w:type="dxa"/>
            </w:tcMar>
          </w:tcPr>
          <w:p>
            <w:pPr>
              <w:jc w:val="center"/>
            </w:pPr>
            <w:r>
              <w:rPr>
                <w:sz w:val="19"/>
              </w:rPr>
              <w:t>Kalām-theological</w:t>
            </w:r>
          </w:p>
        </w:tc>
        <w:tc>
          <w:tcPr>
            <w:tcW w:type="dxa" w:w="6690"/>
            <w:vAlign w:val="center"/>
            <w:tcMar>
              <w:top w:w="110" w:type="dxa"/>
              <w:start w:w="130" w:type="dxa"/>
              <w:bottom w:w="110" w:type="dxa"/>
              <w:end w:w="130" w:type="dxa"/>
            </w:tcMar>
          </w:tcPr>
          <w:p>
            <w:pPr>
              <w:jc w:val="left"/>
            </w:pPr>
            <w:r>
              <w:rPr>
                <w:sz w:val="19"/>
              </w:rPr>
              <w:t>Changes what counts as doctrinally decisive and how theological tensions are organized.</w:t>
            </w:r>
          </w:p>
        </w:tc>
      </w:tr>
      <w:tr>
        <w:tc>
          <w:tcPr>
            <w:tcW w:type="dxa" w:w="2381"/>
            <w:vAlign w:val="center"/>
            <w:tcMar>
              <w:top w:w="110" w:type="dxa"/>
              <w:start w:w="130" w:type="dxa"/>
              <w:bottom w:w="110" w:type="dxa"/>
              <w:end w:w="130" w:type="dxa"/>
            </w:tcMar>
            <w:shd w:fill="F9FBFE"/>
          </w:tcPr>
          <w:p>
            <w:pPr>
              <w:jc w:val="center"/>
            </w:pPr>
            <w:r>
              <w:rPr>
                <w:sz w:val="19"/>
              </w:rPr>
              <w:t>Legal and usuli</w:t>
            </w:r>
          </w:p>
        </w:tc>
        <w:tc>
          <w:tcPr>
            <w:tcW w:type="dxa" w:w="6690"/>
            <w:vAlign w:val="center"/>
            <w:tcMar>
              <w:top w:w="110" w:type="dxa"/>
              <w:start w:w="130" w:type="dxa"/>
              <w:bottom w:w="110" w:type="dxa"/>
              <w:end w:w="130" w:type="dxa"/>
            </w:tcMar>
            <w:shd w:fill="F9FBFE"/>
          </w:tcPr>
          <w:p>
            <w:pPr>
              <w:jc w:val="left"/>
            </w:pPr>
            <w:r>
              <w:rPr>
                <w:sz w:val="19"/>
              </w:rPr>
              <w:t>Re-weights command, implication, normative scope, and legal extraction.</w:t>
            </w:r>
          </w:p>
        </w:tc>
      </w:tr>
      <w:tr>
        <w:tc>
          <w:tcPr>
            <w:tcW w:type="dxa" w:w="2381"/>
            <w:vAlign w:val="center"/>
            <w:tcMar>
              <w:top w:w="110" w:type="dxa"/>
              <w:start w:w="130" w:type="dxa"/>
              <w:bottom w:w="110" w:type="dxa"/>
              <w:end w:w="130" w:type="dxa"/>
            </w:tcMar>
          </w:tcPr>
          <w:p>
            <w:pPr>
              <w:jc w:val="center"/>
            </w:pPr>
            <w:r>
              <w:rPr>
                <w:sz w:val="19"/>
              </w:rPr>
              <w:t>Mystical and ishari</w:t>
            </w:r>
          </w:p>
        </w:tc>
        <w:tc>
          <w:tcPr>
            <w:tcW w:type="dxa" w:w="6690"/>
            <w:vAlign w:val="center"/>
            <w:tcMar>
              <w:top w:w="110" w:type="dxa"/>
              <w:start w:w="130" w:type="dxa"/>
              <w:bottom w:w="110" w:type="dxa"/>
              <w:end w:w="130" w:type="dxa"/>
            </w:tcMar>
          </w:tcPr>
          <w:p>
            <w:pPr>
              <w:jc w:val="left"/>
            </w:pPr>
            <w:r>
              <w:rPr>
                <w:sz w:val="19"/>
              </w:rPr>
              <w:t>Adds symbolic, spiritual, and interiorized readings.</w:t>
            </w:r>
          </w:p>
        </w:tc>
      </w:tr>
      <w:tr>
        <w:tc>
          <w:tcPr>
            <w:tcW w:type="dxa" w:w="2381"/>
            <w:vAlign w:val="center"/>
            <w:tcMar>
              <w:top w:w="110" w:type="dxa"/>
              <w:start w:w="130" w:type="dxa"/>
              <w:bottom w:w="110" w:type="dxa"/>
              <w:end w:w="130" w:type="dxa"/>
            </w:tcMar>
            <w:shd w:fill="F9FBFE"/>
          </w:tcPr>
          <w:p>
            <w:pPr>
              <w:jc w:val="center"/>
            </w:pPr>
            <w:r>
              <w:rPr>
                <w:sz w:val="19"/>
              </w:rPr>
              <w:t>Literary coherence</w:t>
            </w:r>
          </w:p>
        </w:tc>
        <w:tc>
          <w:tcPr>
            <w:tcW w:type="dxa" w:w="6690"/>
            <w:vAlign w:val="center"/>
            <w:tcMar>
              <w:top w:w="110" w:type="dxa"/>
              <w:start w:w="130" w:type="dxa"/>
              <w:bottom w:w="110" w:type="dxa"/>
              <w:end w:w="130" w:type="dxa"/>
            </w:tcMar>
            <w:shd w:fill="F9FBFE"/>
          </w:tcPr>
          <w:p>
            <w:pPr>
              <w:jc w:val="left"/>
            </w:pPr>
            <w:r>
              <w:rPr>
                <w:sz w:val="19"/>
              </w:rPr>
              <w:t>Privileges composition, progression, motifs, and surah unity.</w:t>
            </w:r>
          </w:p>
        </w:tc>
      </w:tr>
      <w:tr>
        <w:tc>
          <w:tcPr>
            <w:tcW w:type="dxa" w:w="2381"/>
            <w:vAlign w:val="center"/>
            <w:tcMar>
              <w:top w:w="110" w:type="dxa"/>
              <w:start w:w="130" w:type="dxa"/>
              <w:bottom w:w="110" w:type="dxa"/>
              <w:end w:w="130" w:type="dxa"/>
            </w:tcMar>
          </w:tcPr>
          <w:p>
            <w:pPr>
              <w:jc w:val="center"/>
            </w:pPr>
            <w:r>
              <w:rPr>
                <w:sz w:val="19"/>
              </w:rPr>
              <w:t>Confessional-academic</w:t>
            </w:r>
          </w:p>
        </w:tc>
        <w:tc>
          <w:tcPr>
            <w:tcW w:type="dxa" w:w="6690"/>
            <w:vAlign w:val="center"/>
            <w:tcMar>
              <w:top w:w="110" w:type="dxa"/>
              <w:start w:w="130" w:type="dxa"/>
              <w:bottom w:w="110" w:type="dxa"/>
              <w:end w:w="130" w:type="dxa"/>
            </w:tcMar>
          </w:tcPr>
          <w:p>
            <w:pPr>
              <w:jc w:val="left"/>
            </w:pPr>
            <w:r>
              <w:rPr>
                <w:sz w:val="19"/>
              </w:rPr>
              <w:t>Combines belief-commitment with critical method.</w:t>
            </w:r>
          </w:p>
        </w:tc>
      </w:tr>
      <w:tr>
        <w:tc>
          <w:tcPr>
            <w:tcW w:type="dxa" w:w="2381"/>
            <w:vAlign w:val="center"/>
            <w:tcMar>
              <w:top w:w="110" w:type="dxa"/>
              <w:start w:w="130" w:type="dxa"/>
              <w:bottom w:w="110" w:type="dxa"/>
              <w:end w:w="130" w:type="dxa"/>
            </w:tcMar>
            <w:shd w:fill="F9FBFE"/>
          </w:tcPr>
          <w:p>
            <w:pPr>
              <w:jc w:val="center"/>
            </w:pPr>
            <w:r>
              <w:rPr>
                <w:sz w:val="19"/>
              </w:rPr>
              <w:t>Orientalist and revisionist</w:t>
            </w:r>
          </w:p>
        </w:tc>
        <w:tc>
          <w:tcPr>
            <w:tcW w:type="dxa" w:w="6690"/>
            <w:vAlign w:val="center"/>
            <w:tcMar>
              <w:top w:w="110" w:type="dxa"/>
              <w:start w:w="130" w:type="dxa"/>
              <w:bottom w:w="110" w:type="dxa"/>
              <w:end w:w="130" w:type="dxa"/>
            </w:tcMar>
            <w:shd w:fill="F9FBFE"/>
          </w:tcPr>
          <w:p>
            <w:pPr>
              <w:jc w:val="left"/>
            </w:pPr>
            <w:r>
              <w:rPr>
                <w:sz w:val="19"/>
              </w:rPr>
              <w:t>Raises historical-critical reconstruction, borrowing, canon-formation, and late-antique context claims.</w:t>
            </w:r>
          </w:p>
        </w:tc>
      </w:tr>
      <w:tr>
        <w:tc>
          <w:tcPr>
            <w:tcW w:type="dxa" w:w="2381"/>
            <w:vAlign w:val="center"/>
            <w:tcMar>
              <w:top w:w="110" w:type="dxa"/>
              <w:start w:w="130" w:type="dxa"/>
              <w:bottom w:w="110" w:type="dxa"/>
              <w:end w:w="130" w:type="dxa"/>
            </w:tcMar>
          </w:tcPr>
          <w:p>
            <w:pPr>
              <w:jc w:val="center"/>
            </w:pPr>
            <w:r>
              <w:rPr>
                <w:sz w:val="19"/>
              </w:rPr>
              <w:t>Civilizational critique</w:t>
            </w:r>
          </w:p>
        </w:tc>
        <w:tc>
          <w:tcPr>
            <w:tcW w:type="dxa" w:w="6690"/>
            <w:vAlign w:val="center"/>
            <w:tcMar>
              <w:top w:w="110" w:type="dxa"/>
              <w:start w:w="130" w:type="dxa"/>
              <w:bottom w:w="110" w:type="dxa"/>
              <w:end w:w="130" w:type="dxa"/>
            </w:tcMar>
          </w:tcPr>
          <w:p>
            <w:pPr>
              <w:jc w:val="left"/>
            </w:pPr>
            <w:r>
              <w:rPr>
                <w:sz w:val="19"/>
              </w:rPr>
              <w:t>Frames the surah against modern ideologies and rival moral orders.</w:t>
            </w:r>
          </w:p>
        </w:tc>
      </w:tr>
      <w:tr>
        <w:tc>
          <w:tcPr>
            <w:tcW w:type="dxa" w:w="4762"/>
          </w:tcPr>
          <w:p>
            <w:r>
              <w:t>Manuscript and codicological</w:t>
            </w:r>
          </w:p>
        </w:tc>
        <w:tc>
          <w:tcPr>
            <w:tcW w:type="dxa" w:w="4762"/>
          </w:tcPr>
          <w:p>
            <w:r>
              <w:t>Makes Qur’anic codices, fragments, palimpsests, folio structure, scribal features, and material transmission discussable inside QR without letting material evidence float outside the doctrinal model.</w:t>
            </w:r>
          </w:p>
        </w:tc>
      </w:tr>
      <w:tr>
        <w:tc>
          <w:tcPr>
            <w:tcW w:type="dxa" w:w="4762"/>
          </w:tcPr>
          <w:p>
            <w:r>
              <w:t>Epigraphic</w:t>
            </w:r>
          </w:p>
        </w:tc>
        <w:tc>
          <w:tcPr>
            <w:tcW w:type="dxa" w:w="4762"/>
          </w:tcPr>
          <w:p>
            <w:r>
              <w:t>Allows inscriptions and related material-textual witnesses to be compared with surah, passage, and transmission claims as first-class evidence.</w:t>
            </w:r>
          </w:p>
        </w:tc>
      </w:tr>
      <w:tr>
        <w:tc>
          <w:tcPr>
            <w:tcW w:type="dxa" w:w="4762"/>
          </w:tcPr>
          <w:p>
            <w:r>
              <w:t>Archaeological and late-antique contextual</w:t>
            </w:r>
          </w:p>
        </w:tc>
        <w:tc>
          <w:tcPr>
            <w:tcW w:type="dxa" w:w="4762"/>
          </w:tcPr>
          <w:p>
            <w:r>
              <w:t>Captures historical setting, material context, and broader late-antique discourse without reducing the Qur’an to context alone.</w:t>
            </w:r>
          </w:p>
        </w:tc>
      </w:tr>
      <w:tr>
        <w:tc>
          <w:tcPr>
            <w:tcW w:type="dxa" w:w="4762"/>
          </w:tcPr>
          <w:p>
            <w:r>
              <w:t>Radiocarbon and material-scientific</w:t>
            </w:r>
          </w:p>
        </w:tc>
        <w:tc>
          <w:tcPr>
            <w:tcW w:type="dxa" w:w="4762"/>
          </w:tcPr>
          <w:p>
            <w:r>
              <w:t>Allows dating claims, laboratory results, and related material observations to be represented as evidence-bearing but method-bounded inputs rather than vague modern footnotes.</w:t>
            </w:r>
          </w:p>
        </w:tc>
      </w:tr>
      <w:tr>
        <w:tc>
          <w:tcPr>
            <w:tcW w:type="dxa" w:w="4762"/>
          </w:tcPr>
          <w:p>
            <w:r>
              <w:t>Qira’at, rasm, and textual transmission</w:t>
            </w:r>
          </w:p>
        </w:tc>
        <w:tc>
          <w:tcPr>
            <w:tcW w:type="dxa" w:w="4762"/>
          </w:tcPr>
          <w:p>
            <w:r>
              <w:t>Keeps oral-written transmission, consonantal skeleton, reading traditions, and textual witness relations inside the same paradigm-aware reception field.</w:t>
            </w:r>
          </w:p>
        </w:tc>
      </w:tr>
    </w:tbl>
    <w:p/>
    <w:p>
      <w:r>
        <w:t>This is where Patricia Crone, Michael Cook, Nicolai Sinai, Angelika Neuwirth, Donner, Shoemaker, classical mufassirun, modern Muslim scholars, and later civilizational critics all become queryable inside QR by scholar, work, paradigm, topic, and position.</w:t>
      </w:r>
    </w:p>
    <w:tbl>
      <w:tblPr>
        <w:tblW w:type="auto" w:w="0"/>
        <w:jc w:val="center"/>
        <w:tblLayout w:type="autofit"/>
        <w:tblLook w:firstColumn="1" w:firstRow="1" w:lastColumn="0" w:lastRow="0" w:noHBand="0" w:noVBand="1" w:val="04A0"/>
      </w:tblPr>
      <w:tblGrid>
        <w:gridCol w:w="9525"/>
      </w:tblGrid>
      <w:tr>
        <w:tc>
          <w:tcPr>
            <w:tcW w:type="dxa" w:w="9525"/>
            <w:shd w:fill="EEF4FB"/>
            <w:tcMar>
              <w:top w:w="140" w:type="dxa"/>
              <w:start w:w="180" w:type="dxa"/>
              <w:bottom w:w="140" w:type="dxa"/>
              <w:end w:w="180" w:type="dxa"/>
            </w:tcMar>
          </w:tcPr>
          <w:p>
            <w:r>
              <w:rPr>
                <w:b/>
                <w:color w:val="1F4E79"/>
                <w:sz w:val="21"/>
              </w:rPr>
              <w:t>Reception doctrine</w:t>
              <w:br/>
            </w:r>
            <w:r>
              <w:rPr>
                <w:color w:val="222222"/>
                <w:sz w:val="20"/>
              </w:rPr>
              <w:t>QR should be able to answer not just 'what does this surah mean?' but also 'how has this surah been read, by whom, under which paradigm, with what evidence, against which rivals, and in what historical sequence?'</w:t>
            </w:r>
          </w:p>
        </w:tc>
      </w:tr>
    </w:tbl>
    <w:p/>
    <w:p>
      <w:pPr>
        <w:pStyle w:val="Heading1"/>
      </w:pPr>
      <w:r>
        <w:t>6. Claims, arguments, evidence, and debate</w:t>
      </w:r>
    </w:p>
    <w:p>
      <w:r>
        <w:t>Flat notes are not enough. km_quran needs a formal reasoning layer where claims, arguments, and evidences can be compared, challenged, and projected.</w:t>
      </w:r>
    </w:p>
    <w:p>
      <w:pPr>
        <w:pStyle w:val="Heading2"/>
      </w:pPr>
      <w:r>
        <w:t>Reasoning stack</w:t>
      </w:r>
    </w:p>
    <w:tbl>
      <w:tblPr>
        <w:tblStyle w:val="TableGrid"/>
        <w:tblW w:type="auto" w:w="0"/>
        <w:jc w:val="center"/>
        <w:tblLayout w:type="fixed"/>
        <w:tblLook w:firstColumn="1" w:firstRow="1" w:lastColumn="0" w:lastRow="0" w:noHBand="0" w:noVBand="1" w:val="04A0"/>
      </w:tblPr>
      <w:tblGrid>
        <w:gridCol w:w="4762"/>
        <w:gridCol w:w="4762"/>
      </w:tblGrid>
      <w:tr>
        <w:trPr>
          <w:tblHeader w:val="true"/>
        </w:trPr>
        <w:tc>
          <w:tcPr>
            <w:tcW w:type="dxa" w:w="1814"/>
            <w:vAlign w:val="center"/>
            <w:shd w:fill="DCE6F1"/>
            <w:tcMar>
              <w:top w:w="120" w:type="dxa"/>
              <w:start w:w="150" w:type="dxa"/>
              <w:bottom w:w="120" w:type="dxa"/>
              <w:end w:w="150" w:type="dxa"/>
            </w:tcMar>
          </w:tcPr>
          <w:p>
            <w:pPr>
              <w:jc w:val="center"/>
            </w:pPr>
            <w:r>
              <w:rPr>
                <w:b/>
                <w:color w:val="1F4E79"/>
                <w:sz w:val="19"/>
              </w:rPr>
              <w:t>Layer</w:t>
            </w:r>
          </w:p>
        </w:tc>
        <w:tc>
          <w:tcPr>
            <w:tcW w:type="dxa" w:w="7257"/>
            <w:vAlign w:val="center"/>
            <w:shd w:fill="DCE6F1"/>
            <w:tcMar>
              <w:top w:w="120" w:type="dxa"/>
              <w:start w:w="150" w:type="dxa"/>
              <w:bottom w:w="120" w:type="dxa"/>
              <w:end w:w="150" w:type="dxa"/>
            </w:tcMar>
          </w:tcPr>
          <w:p>
            <w:pPr>
              <w:jc w:val="center"/>
            </w:pPr>
            <w:r>
              <w:rPr>
                <w:b/>
                <w:color w:val="1F4E79"/>
                <w:sz w:val="19"/>
              </w:rPr>
              <w:t>Function</w:t>
            </w:r>
          </w:p>
        </w:tc>
      </w:tr>
      <w:tr>
        <w:tc>
          <w:tcPr>
            <w:tcW w:type="dxa" w:w="1814"/>
            <w:vAlign w:val="center"/>
            <w:tcMar>
              <w:top w:w="110" w:type="dxa"/>
              <w:start w:w="130" w:type="dxa"/>
              <w:bottom w:w="110" w:type="dxa"/>
              <w:end w:w="130" w:type="dxa"/>
            </w:tcMar>
            <w:shd w:fill="F9FBFE"/>
          </w:tcPr>
          <w:p>
            <w:pPr>
              <w:jc w:val="center"/>
            </w:pPr>
            <w:r>
              <w:rPr>
                <w:sz w:val="19"/>
              </w:rPr>
              <w:t>Claim</w:t>
            </w:r>
          </w:p>
        </w:tc>
        <w:tc>
          <w:tcPr>
            <w:tcW w:type="dxa" w:w="7257"/>
            <w:vAlign w:val="center"/>
            <w:tcMar>
              <w:top w:w="110" w:type="dxa"/>
              <w:start w:w="130" w:type="dxa"/>
              <w:bottom w:w="110" w:type="dxa"/>
              <w:end w:w="130" w:type="dxa"/>
            </w:tcMar>
            <w:shd w:fill="F9FBFE"/>
          </w:tcPr>
          <w:p>
            <w:pPr>
              <w:jc w:val="left"/>
            </w:pPr>
            <w:r>
              <w:rPr>
                <w:sz w:val="19"/>
              </w:rPr>
              <w:t>A concise analytical statement about structure, theme, rhetoric, worldview, pairing, sequence, or reception.</w:t>
            </w:r>
          </w:p>
        </w:tc>
      </w:tr>
      <w:tr>
        <w:tc>
          <w:tcPr>
            <w:tcW w:type="dxa" w:w="1814"/>
            <w:vAlign w:val="center"/>
            <w:tcMar>
              <w:top w:w="110" w:type="dxa"/>
              <w:start w:w="130" w:type="dxa"/>
              <w:bottom w:w="110" w:type="dxa"/>
              <w:end w:w="130" w:type="dxa"/>
            </w:tcMar>
          </w:tcPr>
          <w:p>
            <w:pPr>
              <w:jc w:val="center"/>
            </w:pPr>
            <w:r>
              <w:rPr>
                <w:sz w:val="19"/>
              </w:rPr>
              <w:t>Nuance</w:t>
            </w:r>
          </w:p>
        </w:tc>
        <w:tc>
          <w:tcPr>
            <w:tcW w:type="dxa" w:w="7257"/>
            <w:vAlign w:val="center"/>
            <w:tcMar>
              <w:top w:w="110" w:type="dxa"/>
              <w:start w:w="130" w:type="dxa"/>
              <w:bottom w:w="110" w:type="dxa"/>
              <w:end w:w="130" w:type="dxa"/>
            </w:tcMar>
          </w:tcPr>
          <w:p>
            <w:pPr>
              <w:jc w:val="left"/>
            </w:pPr>
            <w:r>
              <w:rPr>
                <w:sz w:val="19"/>
              </w:rPr>
              <w:t>A qualification, ambiguity, limit, or tension attached to a claim.</w:t>
            </w:r>
          </w:p>
        </w:tc>
      </w:tr>
      <w:tr>
        <w:tc>
          <w:tcPr>
            <w:tcW w:type="dxa" w:w="1814"/>
            <w:vAlign w:val="center"/>
            <w:tcMar>
              <w:top w:w="110" w:type="dxa"/>
              <w:start w:w="130" w:type="dxa"/>
              <w:bottom w:w="110" w:type="dxa"/>
              <w:end w:w="130" w:type="dxa"/>
            </w:tcMar>
            <w:shd w:fill="F9FBFE"/>
          </w:tcPr>
          <w:p>
            <w:pPr>
              <w:jc w:val="center"/>
            </w:pPr>
            <w:r>
              <w:rPr>
                <w:sz w:val="19"/>
              </w:rPr>
              <w:t>Argument</w:t>
            </w:r>
          </w:p>
        </w:tc>
        <w:tc>
          <w:tcPr>
            <w:tcW w:type="dxa" w:w="7257"/>
            <w:vAlign w:val="center"/>
            <w:tcMar>
              <w:top w:w="110" w:type="dxa"/>
              <w:start w:w="130" w:type="dxa"/>
              <w:bottom w:w="110" w:type="dxa"/>
              <w:end w:w="130" w:type="dxa"/>
            </w:tcMar>
            <w:shd w:fill="F9FBFE"/>
          </w:tcPr>
          <w:p>
            <w:pPr>
              <w:jc w:val="left"/>
            </w:pPr>
            <w:r>
              <w:rPr>
                <w:sz w:val="19"/>
              </w:rPr>
              <w:t>A larger structured position built from multiple claims and evidences.</w:t>
            </w:r>
          </w:p>
        </w:tc>
      </w:tr>
      <w:tr>
        <w:tc>
          <w:tcPr>
            <w:tcW w:type="dxa" w:w="1814"/>
            <w:vAlign w:val="center"/>
            <w:tcMar>
              <w:top w:w="110" w:type="dxa"/>
              <w:start w:w="130" w:type="dxa"/>
              <w:bottom w:w="110" w:type="dxa"/>
              <w:end w:w="130" w:type="dxa"/>
            </w:tcMar>
          </w:tcPr>
          <w:p>
            <w:pPr>
              <w:jc w:val="center"/>
            </w:pPr>
            <w:r>
              <w:rPr>
                <w:sz w:val="19"/>
              </w:rPr>
              <w:t>Evidence item</w:t>
            </w:r>
          </w:p>
        </w:tc>
        <w:tc>
          <w:tcPr>
            <w:tcW w:type="dxa" w:w="7257"/>
            <w:vAlign w:val="center"/>
            <w:tcMar>
              <w:top w:w="110" w:type="dxa"/>
              <w:start w:w="130" w:type="dxa"/>
              <w:bottom w:w="110" w:type="dxa"/>
              <w:end w:w="130" w:type="dxa"/>
            </w:tcMar>
          </w:tcPr>
          <w:p>
            <w:pPr>
              <w:jc w:val="left"/>
            </w:pPr>
            <w:r>
              <w:rPr>
                <w:sz w:val="19"/>
              </w:rPr>
              <w:t>A concrete supporting datum: passage, motif, structure pattern, scholar quote, inscription, manuscript datum, comparative source, or reception witness.</w:t>
            </w:r>
          </w:p>
        </w:tc>
      </w:tr>
      <w:tr>
        <w:tc>
          <w:tcPr>
            <w:tcW w:type="dxa" w:w="1814"/>
            <w:vAlign w:val="center"/>
            <w:tcMar>
              <w:top w:w="110" w:type="dxa"/>
              <w:start w:w="130" w:type="dxa"/>
              <w:bottom w:w="110" w:type="dxa"/>
              <w:end w:w="130" w:type="dxa"/>
            </w:tcMar>
            <w:shd w:fill="F9FBFE"/>
          </w:tcPr>
          <w:p>
            <w:pPr>
              <w:jc w:val="center"/>
            </w:pPr>
            <w:r>
              <w:rPr>
                <w:sz w:val="19"/>
              </w:rPr>
              <w:t>Debate cluster</w:t>
            </w:r>
          </w:p>
        </w:tc>
        <w:tc>
          <w:tcPr>
            <w:tcW w:type="dxa" w:w="7257"/>
            <w:vAlign w:val="center"/>
            <w:tcMar>
              <w:top w:w="110" w:type="dxa"/>
              <w:start w:w="130" w:type="dxa"/>
              <w:bottom w:w="110" w:type="dxa"/>
              <w:end w:w="130" w:type="dxa"/>
            </w:tcMar>
            <w:shd w:fill="F9FBFE"/>
          </w:tcPr>
          <w:p>
            <w:pPr>
              <w:jc w:val="left"/>
            </w:pPr>
            <w:r>
              <w:rPr>
                <w:sz w:val="19"/>
              </w:rPr>
              <w:t>A grouped controversy in which multiple arguments, scholars, and paradigms are linked around a topic.</w:t>
            </w:r>
          </w:p>
        </w:tc>
      </w:tr>
    </w:tbl>
    <w:p/>
    <w:p>
      <w:pPr>
        <w:pStyle w:val="ListBullet"/>
        <w:spacing w:after="40"/>
        <w:ind w:left="0"/>
      </w:pPr>
      <w:r>
        <w:rPr>
          <w:sz w:val="20"/>
        </w:rPr>
        <w:t>Evidence must have ontology, provenance, locator detail, and dispute status, not only a free-text link field.</w:t>
      </w:r>
    </w:p>
    <w:p>
      <w:pPr>
        <w:pStyle w:val="ListBullet"/>
        <w:spacing w:after="40"/>
        <w:ind w:left="0"/>
      </w:pPr>
      <w:r>
        <w:rPr>
          <w:sz w:val="20"/>
        </w:rPr>
        <w:t>Argument relations should express support, refutation, qualification, inheritance, response, synthesis, narrowing, and reframing.</w:t>
      </w:r>
    </w:p>
    <w:p>
      <w:pPr>
        <w:pStyle w:val="ListBullet"/>
        <w:spacing w:after="40"/>
        <w:ind w:left="0"/>
      </w:pPr>
      <w:r>
        <w:rPr>
          <w:sz w:val="20"/>
        </w:rPr>
        <w:t>Debate clusters should allow orientalist, revisionist, traditional, literary, and civilizational positions to be compared without flattening them into one graph cloud.</w:t>
      </w:r>
    </w:p>
    <w:p>
      <w:pPr>
        <w:pStyle w:val="Heading2"/>
      </w:pPr>
      <w:r>
        <w:t>Examples of evidence QR should treat seriously</w:t>
      </w:r>
    </w:p>
    <w:p>
      <w:pPr>
        <w:pStyle w:val="ListBullet"/>
        <w:spacing w:after="40"/>
        <w:ind w:left="0"/>
      </w:pPr>
      <w:r>
        <w:rPr>
          <w:sz w:val="20"/>
        </w:rPr>
        <w:t>Surah opening force and closure echo</w:t>
      </w:r>
    </w:p>
    <w:p>
      <w:pPr>
        <w:pStyle w:val="ListBullet"/>
        <w:spacing w:after="40"/>
        <w:ind w:left="0"/>
      </w:pPr>
      <w:r>
        <w:rPr>
          <w:sz w:val="20"/>
        </w:rPr>
        <w:t>Structural pivot or ring center</w:t>
      </w:r>
    </w:p>
    <w:p>
      <w:pPr>
        <w:pStyle w:val="ListBullet"/>
        <w:spacing w:after="40"/>
        <w:ind w:left="0"/>
      </w:pPr>
      <w:r>
        <w:rPr>
          <w:sz w:val="20"/>
        </w:rPr>
        <w:t>Motif recurrence and cluster return</w:t>
      </w:r>
    </w:p>
    <w:p>
      <w:pPr>
        <w:pStyle w:val="ListBullet"/>
        <w:spacing w:after="40"/>
        <w:ind w:left="0"/>
      </w:pPr>
      <w:r>
        <w:rPr>
          <w:sz w:val="20"/>
        </w:rPr>
        <w:t>Lexical and semantic field concentration</w:t>
      </w:r>
    </w:p>
    <w:p>
      <w:pPr>
        <w:pStyle w:val="ListBullet"/>
        <w:spacing w:after="40"/>
        <w:ind w:left="0"/>
      </w:pPr>
      <w:r>
        <w:rPr>
          <w:sz w:val="20"/>
        </w:rPr>
        <w:t>Rhyme band or cadence shift</w:t>
      </w:r>
    </w:p>
    <w:p>
      <w:pPr>
        <w:pStyle w:val="ListBullet"/>
        <w:spacing w:after="40"/>
        <w:ind w:left="0"/>
      </w:pPr>
      <w:r>
        <w:rPr>
          <w:sz w:val="20"/>
        </w:rPr>
        <w:t>Tafsir citation or scholar quotation</w:t>
      </w:r>
    </w:p>
    <w:p>
      <w:pPr>
        <w:pStyle w:val="ListBullet"/>
        <w:spacing w:after="40"/>
        <w:ind w:left="0"/>
      </w:pPr>
      <w:r>
        <w:rPr>
          <w:sz w:val="20"/>
        </w:rPr>
        <w:t>Cross-surah relation</w:t>
      </w:r>
    </w:p>
    <w:p>
      <w:pPr>
        <w:pStyle w:val="ListBullet"/>
        <w:spacing w:after="40"/>
        <w:ind w:left="0"/>
      </w:pPr>
      <w:r>
        <w:rPr>
          <w:sz w:val="20"/>
        </w:rPr>
        <w:t>Comparative tradition passage</w:t>
      </w:r>
    </w:p>
    <w:p>
      <w:pPr>
        <w:pStyle w:val="ListBullet"/>
        <w:spacing w:after="40"/>
        <w:ind w:left="0"/>
      </w:pPr>
      <w:r>
        <w:rPr>
          <w:sz w:val="20"/>
        </w:rPr>
        <w:t>Manuscript or inscription datum where relevant</w:t>
      </w:r>
    </w:p>
    <w:p>
      <w:pPr>
        <w:pStyle w:val="Heading1"/>
      </w:pPr>
      <w:r>
        <w:t>7. Diagram and graph projection doctrine</w:t>
      </w:r>
    </w:p>
    <w:p>
      <w:r>
        <w:t>QR should have its own graph and D3-ready projection layer, but graph rows must not become the raw storage of everything. Normalized QR tables remain canonical; graph and diagram families are projection-ready representations.</w:t>
      </w:r>
    </w:p>
    <w:p>
      <w:pPr>
        <w:pStyle w:val="Heading2"/>
      </w:pPr>
      <w:r>
        <w:t>The canonical rule</w:t>
      </w:r>
    </w:p>
    <w:tbl>
      <w:tblPr>
        <w:tblStyle w:val="TableGrid"/>
        <w:tblW w:type="auto" w:w="0"/>
        <w:jc w:val="center"/>
        <w:tblLayout w:type="fixed"/>
        <w:tblLook w:firstColumn="1" w:firstRow="1" w:lastColumn="0" w:lastRow="0" w:noHBand="0" w:noVBand="1" w:val="04A0"/>
      </w:tblPr>
      <w:tblGrid>
        <w:gridCol w:w="4762"/>
        <w:gridCol w:w="4762"/>
      </w:tblGrid>
      <w:tr>
        <w:trPr>
          <w:tblHeader w:val="true"/>
        </w:trPr>
        <w:tc>
          <w:tcPr>
            <w:tcW w:type="dxa" w:w="2948"/>
            <w:vAlign w:val="center"/>
            <w:shd w:fill="DCE6F1"/>
            <w:tcMar>
              <w:top w:w="120" w:type="dxa"/>
              <w:start w:w="150" w:type="dxa"/>
              <w:bottom w:w="120" w:type="dxa"/>
              <w:end w:w="150" w:type="dxa"/>
            </w:tcMar>
          </w:tcPr>
          <w:p>
            <w:pPr>
              <w:jc w:val="center"/>
            </w:pPr>
            <w:r>
              <w:rPr>
                <w:b/>
                <w:color w:val="1F4E79"/>
                <w:sz w:val="19"/>
              </w:rPr>
              <w:t>Tier</w:t>
            </w:r>
          </w:p>
        </w:tc>
        <w:tc>
          <w:tcPr>
            <w:tcW w:type="dxa" w:w="6236"/>
            <w:vAlign w:val="center"/>
            <w:shd w:fill="DCE6F1"/>
            <w:tcMar>
              <w:top w:w="120" w:type="dxa"/>
              <w:start w:w="150" w:type="dxa"/>
              <w:bottom w:w="120" w:type="dxa"/>
              <w:end w:w="150" w:type="dxa"/>
            </w:tcMar>
          </w:tcPr>
          <w:p>
            <w:pPr>
              <w:jc w:val="center"/>
            </w:pPr>
            <w:r>
              <w:rPr>
                <w:b/>
                <w:color w:val="1F4E79"/>
                <w:sz w:val="19"/>
              </w:rPr>
              <w:t>What belongs there</w:t>
            </w:r>
          </w:p>
        </w:tc>
      </w:tr>
      <w:tr>
        <w:tc>
          <w:tcPr>
            <w:tcW w:type="dxa" w:w="2948"/>
            <w:vAlign w:val="center"/>
            <w:tcMar>
              <w:top w:w="110" w:type="dxa"/>
              <w:start w:w="130" w:type="dxa"/>
              <w:bottom w:w="110" w:type="dxa"/>
              <w:end w:w="130" w:type="dxa"/>
            </w:tcMar>
            <w:shd w:fill="F9FBFE"/>
          </w:tcPr>
          <w:p>
            <w:pPr>
              <w:jc w:val="center"/>
            </w:pPr>
            <w:r>
              <w:rPr>
                <w:sz w:val="19"/>
              </w:rPr>
              <w:t>Canonical semantic rows</w:t>
            </w:r>
          </w:p>
        </w:tc>
        <w:tc>
          <w:tcPr>
            <w:tcW w:type="dxa" w:w="6236"/>
            <w:vAlign w:val="center"/>
            <w:tcMar>
              <w:top w:w="110" w:type="dxa"/>
              <w:start w:w="130" w:type="dxa"/>
              <w:bottom w:w="110" w:type="dxa"/>
              <w:end w:w="130" w:type="dxa"/>
            </w:tcMar>
            <w:shd w:fill="F9FBFE"/>
          </w:tcPr>
          <w:p>
            <w:pPr>
              <w:jc w:val="left"/>
            </w:pPr>
            <w:r>
              <w:rPr>
                <w:sz w:val="19"/>
              </w:rPr>
              <w:t>Surah profiles, structure units, topics, motifs, claims, evidences, scholars, positions, paradigms, receptions, and debate records.</w:t>
            </w:r>
          </w:p>
        </w:tc>
      </w:tr>
      <w:tr>
        <w:tc>
          <w:tcPr>
            <w:tcW w:type="dxa" w:w="2948"/>
            <w:vAlign w:val="center"/>
            <w:tcMar>
              <w:top w:w="110" w:type="dxa"/>
              <w:start w:w="130" w:type="dxa"/>
              <w:bottom w:w="110" w:type="dxa"/>
              <w:end w:w="130" w:type="dxa"/>
            </w:tcMar>
          </w:tcPr>
          <w:p>
            <w:pPr>
              <w:jc w:val="left"/>
            </w:pPr>
            <w:r>
              <w:rPr>
                <w:sz w:val="19"/>
              </w:rPr>
              <w:t>Canonical QR graph projections</w:t>
            </w:r>
          </w:p>
        </w:tc>
        <w:tc>
          <w:tcPr>
            <w:tcW w:type="dxa" w:w="6236"/>
            <w:vAlign w:val="center"/>
            <w:tcMar>
              <w:top w:w="110" w:type="dxa"/>
              <w:start w:w="130" w:type="dxa"/>
              <w:bottom w:w="110" w:type="dxa"/>
              <w:end w:w="130" w:type="dxa"/>
            </w:tcMar>
          </w:tcPr>
          <w:p>
            <w:pPr>
              <w:jc w:val="left"/>
            </w:pPr>
            <w:r>
              <w:rPr>
                <w:sz w:val="19"/>
              </w:rPr>
              <w:t>Qur'an-native worldview nodes and edges, cluster projections, path projections, and claim-evidence graph surfaces.</w:t>
            </w:r>
          </w:p>
        </w:tc>
      </w:tr>
      <w:tr>
        <w:tc>
          <w:tcPr>
            <w:tcW w:type="dxa" w:w="2948"/>
            <w:vAlign w:val="center"/>
            <w:tcMar>
              <w:top w:w="110" w:type="dxa"/>
              <w:start w:w="130" w:type="dxa"/>
              <w:bottom w:w="110" w:type="dxa"/>
              <w:end w:w="130" w:type="dxa"/>
            </w:tcMar>
            <w:shd w:fill="F9FBFE"/>
          </w:tcPr>
          <w:p>
            <w:pPr>
              <w:jc w:val="center"/>
            </w:pPr>
            <w:r>
              <w:rPr>
                <w:sz w:val="19"/>
              </w:rPr>
              <w:t>Rendered diagram outputs</w:t>
            </w:r>
          </w:p>
        </w:tc>
        <w:tc>
          <w:tcPr>
            <w:tcW w:type="dxa" w:w="6236"/>
            <w:vAlign w:val="center"/>
            <w:tcMar>
              <w:top w:w="110" w:type="dxa"/>
              <w:start w:w="130" w:type="dxa"/>
              <w:bottom w:w="110" w:type="dxa"/>
              <w:end w:w="130" w:type="dxa"/>
            </w:tcMar>
            <w:shd w:fill="F9FBFE"/>
          </w:tcPr>
          <w:p>
            <w:pPr>
              <w:jc w:val="left"/>
            </w:pPr>
            <w:r>
              <w:rPr>
                <w:sz w:val="19"/>
              </w:rPr>
              <w:t>Surah maps, ring diagrams, motif constellations, scholar matrices, argument maps, and D3 layout artifacts.</w:t>
            </w:r>
          </w:p>
        </w:tc>
      </w:tr>
    </w:tbl>
    <w:p/>
    <w:p>
      <w:pPr>
        <w:pStyle w:val="ListBullet"/>
        <w:spacing w:after="40"/>
        <w:ind w:left="0"/>
      </w:pPr>
      <w:r>
        <w:rPr>
          <w:sz w:val="20"/>
        </w:rPr>
        <w:t>Diagrams should support structure maps, ring and diamond symmetry maps, motif cluster maps, rhetoric maps, rhyme maps, sentence nuance maps, worldview constellations, scholar comparison matrices, argument networks, reception timelines, and cross-surah webs.</w:t>
      </w:r>
    </w:p>
    <w:p>
      <w:pPr>
        <w:pStyle w:val="ListBullet"/>
        <w:spacing w:after="40"/>
        <w:ind w:left="0"/>
      </w:pPr>
      <w:r>
        <w:rPr>
          <w:sz w:val="20"/>
        </w:rPr>
        <w:t>Layout data may be cached, but the facts that justify the diagram must remain normalized and queryable.</w:t>
      </w:r>
    </w:p>
    <w:p>
      <w:pPr>
        <w:pStyle w:val="ListBullet"/>
        <w:spacing w:after="40"/>
        <w:ind w:left="0"/>
      </w:pPr>
      <w:r>
        <w:rPr>
          <w:sz w:val="20"/>
        </w:rPr>
        <w:t>This preserves both rigor and visual richness: QR remains academically robust while still being natively diagrammable.</w:t>
      </w:r>
    </w:p>
    <w:p>
      <w:pPr>
        <w:pStyle w:val="Heading1"/>
      </w:pPr>
      <w:r>
        <w:t>8. Boundaries, anti-patterns, and next build priorities</w:t>
      </w:r>
    </w:p>
    <w:p>
      <w:pPr>
        <w:pStyle w:val="Heading2"/>
      </w:pPr>
      <w:r>
        <w:t>Anti-patterns to block</w:t>
      </w:r>
    </w:p>
    <w:p>
      <w:pPr>
        <w:pStyle w:val="ListBullet"/>
        <w:spacing w:after="40"/>
        <w:ind w:left="0"/>
      </w:pPr>
      <w:r>
        <w:rPr>
          <w:sz w:val="20"/>
        </w:rPr>
        <w:t>Do not let WV become the canonical owner of Qur'anic arguments, evidences, or worldview.</w:t>
      </w:r>
    </w:p>
    <w:p>
      <w:pPr>
        <w:pStyle w:val="ListBullet"/>
        <w:spacing w:after="40"/>
        <w:ind w:left="0"/>
      </w:pPr>
      <w:r>
        <w:rPr>
          <w:sz w:val="20"/>
        </w:rPr>
        <w:t>Do not let CM absorb Qur'anic semantics by turning documents into the real ontology.</w:t>
      </w:r>
    </w:p>
    <w:p>
      <w:pPr>
        <w:pStyle w:val="ListBullet"/>
        <w:spacing w:after="40"/>
        <w:ind w:left="0"/>
      </w:pPr>
      <w:r>
        <w:rPr>
          <w:sz w:val="20"/>
        </w:rPr>
        <w:t>Do not let PL become the source of Qur'anic structure merely because tasks point to passages.</w:t>
      </w:r>
    </w:p>
    <w:p>
      <w:pPr>
        <w:pStyle w:val="ListBullet"/>
        <w:spacing w:after="40"/>
        <w:ind w:left="0"/>
      </w:pPr>
      <w:r>
        <w:rPr>
          <w:sz w:val="20"/>
        </w:rPr>
        <w:t>Do not let LX or AR become accidental owners of Qur'anic meaning because token and morphology data are rich.</w:t>
      </w:r>
    </w:p>
    <w:p>
      <w:pPr>
        <w:pStyle w:val="ListBullet"/>
        <w:spacing w:after="40"/>
        <w:ind w:left="0"/>
      </w:pPr>
      <w:r>
        <w:rPr>
          <w:sz w:val="20"/>
        </w:rPr>
        <w:t>Do not keep stable structural meaning only inside JSON caches such as old surah analysis bundles.</w:t>
      </w:r>
    </w:p>
    <w:p>
      <w:pPr>
        <w:pStyle w:val="ListBullet"/>
        <w:spacing w:after="40"/>
        <w:ind w:left="0"/>
      </w:pPr>
      <w:r>
        <w:t>Do not allow legacy container scaffolding to masquerade as the permanent Qur'an ontology; if the study flow is preserved, it must live as QR-owned workflow families subordinate to canonical surah-first rows.</w:t>
      </w:r>
    </w:p>
    <w:p>
      <w:pPr>
        <w:pStyle w:val="Heading2"/>
      </w:pPr>
      <w:r>
        <w:t>Highest-value canonical families to add next</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474"/>
            <w:vAlign w:val="center"/>
            <w:shd w:fill="DCE6F1"/>
            <w:tcMar>
              <w:top w:w="120" w:type="dxa"/>
              <w:start w:w="150" w:type="dxa"/>
              <w:bottom w:w="120" w:type="dxa"/>
              <w:end w:w="150" w:type="dxa"/>
            </w:tcMar>
          </w:tcPr>
          <w:p>
            <w:pPr>
              <w:jc w:val="center"/>
            </w:pPr>
            <w:r>
              <w:rPr>
                <w:b/>
                <w:color w:val="1F4E79"/>
                <w:sz w:val="19"/>
              </w:rPr>
              <w:t>Priority</w:t>
            </w:r>
          </w:p>
        </w:tc>
        <w:tc>
          <w:tcPr>
            <w:tcW w:type="dxa" w:w="3969"/>
            <w:vAlign w:val="center"/>
            <w:shd w:fill="DCE6F1"/>
            <w:tcMar>
              <w:top w:w="120" w:type="dxa"/>
              <w:start w:w="150" w:type="dxa"/>
              <w:bottom w:w="120" w:type="dxa"/>
              <w:end w:w="150" w:type="dxa"/>
            </w:tcMar>
          </w:tcPr>
          <w:p>
            <w:pPr>
              <w:jc w:val="center"/>
            </w:pPr>
            <w:r>
              <w:rPr>
                <w:b/>
                <w:color w:val="1F4E79"/>
                <w:sz w:val="19"/>
              </w:rPr>
              <w:t>Families</w:t>
            </w:r>
          </w:p>
        </w:tc>
        <w:tc>
          <w:tcPr>
            <w:tcW w:type="dxa" w:w="3742"/>
            <w:vAlign w:val="center"/>
            <w:shd w:fill="DCE6F1"/>
            <w:tcMar>
              <w:top w:w="120" w:type="dxa"/>
              <w:start w:w="150" w:type="dxa"/>
              <w:bottom w:w="120" w:type="dxa"/>
              <w:end w:w="150" w:type="dxa"/>
            </w:tcMar>
          </w:tcPr>
          <w:p>
            <w:pPr>
              <w:jc w:val="center"/>
            </w:pPr>
            <w:r>
              <w:rPr>
                <w:b/>
                <w:color w:val="1F4E79"/>
                <w:sz w:val="19"/>
              </w:rPr>
              <w:t>Why now</w:t>
            </w:r>
          </w:p>
        </w:tc>
      </w:tr>
      <w:tr>
        <w:tc>
          <w:tcPr>
            <w:tcW w:type="dxa" w:w="1474"/>
            <w:vAlign w:val="center"/>
            <w:tcMar>
              <w:top w:w="110" w:type="dxa"/>
              <w:start w:w="130" w:type="dxa"/>
              <w:bottom w:w="110" w:type="dxa"/>
              <w:end w:w="130" w:type="dxa"/>
            </w:tcMar>
            <w:shd w:fill="F9FBFE"/>
          </w:tcPr>
          <w:p>
            <w:pPr>
              <w:jc w:val="center"/>
            </w:pPr>
            <w:r>
              <w:rPr>
                <w:sz w:val="19"/>
              </w:rPr>
              <w:t>Immediate</w:t>
            </w:r>
          </w:p>
        </w:tc>
        <w:tc>
          <w:tcPr>
            <w:tcW w:type="dxa" w:w="3969"/>
            <w:vAlign w:val="center"/>
            <w:tcMar>
              <w:top w:w="110" w:type="dxa"/>
              <w:start w:w="130" w:type="dxa"/>
              <w:bottom w:w="110" w:type="dxa"/>
              <w:end w:w="130" w:type="dxa"/>
            </w:tcMar>
            <w:shd w:fill="F9FBFE"/>
          </w:tcPr>
          <w:p>
            <w:pPr>
              <w:jc w:val="left"/>
            </w:pPr>
            <w:r>
              <w:t>qr_surah_atomic_profiles, qr_surah_structure_readings, qr_surah_symmetry_patterns, qr_surah_motif_clusters, qr_ss_scope_nuance</w:t>
            </w:r>
          </w:p>
        </w:tc>
        <w:tc>
          <w:tcPr>
            <w:tcW w:type="dxa" w:w="3742"/>
            <w:vAlign w:val="center"/>
            <w:tcMar>
              <w:top w:w="110" w:type="dxa"/>
              <w:start w:w="130" w:type="dxa"/>
              <w:bottom w:w="110" w:type="dxa"/>
              <w:end w:w="130" w:type="dxa"/>
            </w:tcMar>
            <w:shd w:fill="F9FBFE"/>
          </w:tcPr>
          <w:p>
            <w:pPr>
              <w:jc w:val="left"/>
            </w:pPr>
            <w:r>
              <w:rPr>
                <w:sz w:val="19"/>
              </w:rPr>
              <w:t>They complete the surah-as-organism doctrine and fill the largest structure/nuance gap.</w:t>
            </w:r>
          </w:p>
        </w:tc>
      </w:tr>
      <w:tr>
        <w:tc>
          <w:tcPr>
            <w:tcW w:type="dxa" w:w="1474"/>
            <w:vAlign w:val="center"/>
            <w:tcMar>
              <w:top w:w="110" w:type="dxa"/>
              <w:start w:w="130" w:type="dxa"/>
              <w:bottom w:w="110" w:type="dxa"/>
              <w:end w:w="130" w:type="dxa"/>
            </w:tcMar>
          </w:tcPr>
          <w:p>
            <w:r>
              <w:t>Immediate</w:t>
            </w:r>
          </w:p>
        </w:tc>
        <w:tc>
          <w:tcPr>
            <w:tcW w:type="dxa" w:w="3969"/>
            <w:vAlign w:val="center"/>
            <w:tcMar>
              <w:top w:w="110" w:type="dxa"/>
              <w:start w:w="130" w:type="dxa"/>
              <w:bottom w:w="110" w:type="dxa"/>
              <w:end w:w="130" w:type="dxa"/>
            </w:tcMar>
          </w:tcPr>
          <w:p>
            <w:r>
              <w:t>qr_scholar_profiles, qr_scholar_works, qr_scholar_positions, qr_scholarly_paradigms, qr_surah_reception_histories, qr_material_witnesses, qr_material_witness_observations</w:t>
            </w:r>
          </w:p>
        </w:tc>
        <w:tc>
          <w:tcPr>
            <w:tcW w:type="dxa" w:w="3742"/>
            <w:vAlign w:val="center"/>
            <w:tcMar>
              <w:top w:w="110" w:type="dxa"/>
              <w:start w:w="130" w:type="dxa"/>
              <w:bottom w:w="110" w:type="dxa"/>
              <w:end w:w="130" w:type="dxa"/>
            </w:tcMar>
          </w:tcPr>
          <w:p>
            <w:r>
              <w:t>They turn tafsir storage into genuine reception history while also allowing manuscript, inscriptional, and dating paradigms to remain inside the same canonical Qur’anic discourse field.</w:t>
            </w:r>
          </w:p>
        </w:tc>
      </w:tr>
      <w:tr>
        <w:tc>
          <w:tcPr>
            <w:tcW w:type="dxa" w:w="1474"/>
            <w:vAlign w:val="center"/>
            <w:tcMar>
              <w:top w:w="110" w:type="dxa"/>
              <w:start w:w="130" w:type="dxa"/>
              <w:bottom w:w="110" w:type="dxa"/>
              <w:end w:w="130" w:type="dxa"/>
            </w:tcMar>
            <w:shd w:fill="F9FBFE"/>
          </w:tcPr>
          <w:p>
            <w:r>
              <w:t>Immediate</w:t>
            </w:r>
          </w:p>
        </w:tc>
        <w:tc>
          <w:tcPr>
            <w:tcW w:type="dxa" w:w="3969"/>
            <w:vAlign w:val="center"/>
            <w:tcMar>
              <w:top w:w="110" w:type="dxa"/>
              <w:start w:w="130" w:type="dxa"/>
              <w:bottom w:w="110" w:type="dxa"/>
              <w:end w:w="130" w:type="dxa"/>
            </w:tcMar>
            <w:shd w:fill="F9FBFE"/>
          </w:tcPr>
          <w:p>
            <w:r>
              <w:t>qr_arguments, qr_argument_relations, qr_evidence_items, qr_debate_clusters</w:t>
            </w:r>
          </w:p>
        </w:tc>
        <w:tc>
          <w:tcPr>
            <w:tcW w:type="dxa" w:w="3742"/>
            <w:vAlign w:val="center"/>
            <w:tcMar>
              <w:top w:w="110" w:type="dxa"/>
              <w:start w:w="130" w:type="dxa"/>
              <w:bottom w:w="110" w:type="dxa"/>
              <w:end w:w="130" w:type="dxa"/>
            </w:tcMar>
            <w:shd w:fill="F9FBFE"/>
          </w:tcPr>
          <w:p>
            <w:r>
              <w:t>They provide formal reasoning and evidence-weighted debate across both classical and modern empirical paradigms.</w:t>
            </w:r>
          </w:p>
        </w:tc>
      </w:tr>
      <w:tr>
        <w:tc>
          <w:tcPr>
            <w:tcW w:type="dxa" w:w="1474"/>
            <w:vAlign w:val="center"/>
            <w:tcMar>
              <w:top w:w="110" w:type="dxa"/>
              <w:start w:w="130" w:type="dxa"/>
              <w:bottom w:w="110" w:type="dxa"/>
              <w:end w:w="130" w:type="dxa"/>
            </w:tcMar>
          </w:tcPr>
          <w:p>
            <w:pPr>
              <w:jc w:val="center"/>
            </w:pPr>
            <w:r>
              <w:rPr>
                <w:sz w:val="19"/>
              </w:rPr>
              <w:t>Near-term</w:t>
            </w:r>
          </w:p>
        </w:tc>
        <w:tc>
          <w:tcPr>
            <w:tcW w:type="dxa" w:w="3969"/>
            <w:vAlign w:val="center"/>
            <w:tcMar>
              <w:top w:w="110" w:type="dxa"/>
              <w:start w:w="130" w:type="dxa"/>
              <w:bottom w:w="110" w:type="dxa"/>
              <w:end w:w="130" w:type="dxa"/>
            </w:tcMar>
          </w:tcPr>
          <w:p>
            <w:pPr>
              <w:jc w:val="left"/>
            </w:pPr>
            <w:r>
              <w:rPr>
                <w:sz w:val="19"/>
              </w:rPr>
              <w:t>qr_worldview_nodes, qr_worldview_edges, qr_diagram_specs, qr_diagram_instances</w:t>
            </w:r>
          </w:p>
        </w:tc>
        <w:tc>
          <w:tcPr>
            <w:tcW w:type="dxa" w:w="3742"/>
            <w:vAlign w:val="center"/>
            <w:tcMar>
              <w:top w:w="110" w:type="dxa"/>
              <w:start w:w="130" w:type="dxa"/>
              <w:bottom w:w="110" w:type="dxa"/>
              <w:end w:w="130" w:type="dxa"/>
            </w:tcMar>
          </w:tcPr>
          <w:p>
            <w:pPr>
              <w:jc w:val="left"/>
            </w:pPr>
            <w:r>
              <w:rPr>
                <w:sz w:val="19"/>
              </w:rPr>
              <w:t>They enable QR-native D3 and internal worldview mapping without losing normalization.</w:t>
            </w:r>
          </w:p>
        </w:tc>
      </w:tr>
      <w:tr>
        <w:tc>
          <w:tcPr>
            <w:tcW w:type="dxa" w:w="1474"/>
            <w:vAlign w:val="center"/>
            <w:tcMar>
              <w:top w:w="110" w:type="dxa"/>
              <w:start w:w="130" w:type="dxa"/>
              <w:bottom w:w="110" w:type="dxa"/>
              <w:end w:w="130" w:type="dxa"/>
            </w:tcMar>
            <w:shd w:fill="F9FBFE"/>
          </w:tcPr>
          <w:p>
            <w:pPr>
              <w:jc w:val="center"/>
            </w:pPr>
            <w:r>
              <w:rPr>
                <w:sz w:val="19"/>
              </w:rPr>
              <w:t>Near-term</w:t>
            </w:r>
          </w:p>
        </w:tc>
        <w:tc>
          <w:tcPr>
            <w:tcW w:type="dxa" w:w="3969"/>
            <w:vAlign w:val="center"/>
            <w:tcMar>
              <w:top w:w="110" w:type="dxa"/>
              <w:start w:w="130" w:type="dxa"/>
              <w:bottom w:w="110" w:type="dxa"/>
              <w:end w:w="130" w:type="dxa"/>
            </w:tcMar>
            <w:shd w:fill="F9FBFE"/>
          </w:tcPr>
          <w:p>
            <w:pPr>
              <w:jc w:val="left"/>
            </w:pPr>
            <w:r>
              <w:rPr>
                <w:sz w:val="19"/>
              </w:rPr>
              <w:t>qr_tradition_sources, qr_comparative_claims, qr_civilizational_claims</w:t>
            </w:r>
          </w:p>
        </w:tc>
        <w:tc>
          <w:tcPr>
            <w:tcW w:type="dxa" w:w="3742"/>
            <w:vAlign w:val="center"/>
            <w:tcMar>
              <w:top w:w="110" w:type="dxa"/>
              <w:start w:w="130" w:type="dxa"/>
              <w:bottom w:w="110" w:type="dxa"/>
              <w:end w:w="130" w:type="dxa"/>
            </w:tcMar>
            <w:shd w:fill="F9FBFE"/>
          </w:tcPr>
          <w:p>
            <w:pPr>
              <w:jc w:val="left"/>
            </w:pPr>
            <w:r>
              <w:rPr>
                <w:sz w:val="19"/>
              </w:rPr>
              <w:t>They support historical, comparative, and civilizational depth.</w:t>
            </w:r>
          </w:p>
        </w:tc>
      </w:tr>
    </w:tbl>
    <w:p/>
    <w:tbl>
      <w:tblPr>
        <w:tblW w:type="auto" w:w="0"/>
        <w:jc w:val="center"/>
        <w:tblLayout w:type="autofit"/>
        <w:tblLook w:firstColumn="1" w:firstRow="1" w:lastColumn="0" w:lastRow="0" w:noHBand="0" w:noVBand="1" w:val="04A0"/>
      </w:tblPr>
      <w:tblGrid>
        <w:gridCol w:w="9525"/>
      </w:tblGrid>
      <w:tr>
        <w:tc>
          <w:tcPr>
            <w:tcW w:type="dxa" w:w="9525"/>
            <w:shd w:fill="EAF1FB"/>
            <w:tcMar>
              <w:top w:w="140" w:type="dxa"/>
              <w:start w:w="180" w:type="dxa"/>
              <w:bottom w:w="140" w:type="dxa"/>
              <w:end w:w="180" w:type="dxa"/>
            </w:tcMar>
          </w:tcPr>
          <w:p>
            <w:r>
              <w:rPr>
                <w:b/>
                <w:color w:val="1F4E79"/>
                <w:sz w:val="21"/>
              </w:rPr>
              <w:t>Final doctrine statement</w:t>
              <w:br/>
            </w:r>
            <w:r>
              <w:rPr>
                <w:color w:val="222222"/>
                <w:sz w:val="20"/>
              </w:rPr>
              <w:t>km_quran is the canonical surah-first analytical and discourse engine of the platform. It treats each surah as an atomic organism whose internal architecture includes passages, pivots, motif clusters, thematic braids, ring and diamond symmetries, rhetorical turns, rhyme and fawasil behavior, sentence-level nuance, worldview structures, scholarly receptions, interpretive paradigms, argument systems, evidence networks, and diagram-ready projections. Other modules may consume selected outputs, but canonical Qur'anic meaning remains in QR.</w:t>
            </w:r>
          </w:p>
        </w:tc>
      </w:tr>
    </w:tbl>
    <w:p/>
    <w:p>
      <w:pPr>
        <w:pStyle w:val="Heading1"/>
      </w:pPr>
      <w:r>
        <w:t>9. Canonical sentence-structure doctrine</w:t>
      </w:r>
    </w:p>
    <w:p>
      <w:r>
        <w:t>Sentence structure is now frozen as a canonical Qur'anic concern inside km_quran. The sentence is not a detached parsing artifact. It is a subordinate discourse scope inside the surah organism, and its words, segments, clauses, phrases, nuances, readings, evidences, and projections must remain coherently tied back to that organism. The frozen sentence-structure stack is explicitly depth-aware: one sentence may span part of one ayah, one ayah, or multiple ayat, and one sentence may contain recursively nested subordinate clauses, phrases, and attached segments down to the sub-word level.</w:t>
      </w:r>
    </w:p>
    <w:p>
      <w:pPr>
        <w:pStyle w:val="Heading2"/>
      </w:pPr>
      <w:r>
        <w:t>Why this freeze matters</w:t>
      </w:r>
    </w:p>
    <w:p>
      <w:pPr>
        <w:pStyle w:val="ListNumber"/>
      </w:pPr>
      <w:r>
        <w:t>It prevents sentence analysis from being trapped in delivery JSON or one-off pedagogical task payloads.</w:t>
      </w:r>
    </w:p>
    <w:p>
      <w:pPr>
        <w:pStyle w:val="ListNumber"/>
      </w:pPr>
      <w:r>
        <w:t>It prevents token and morphology data from becoming accidental owners of Qur'anic meaning.</w:t>
      </w:r>
    </w:p>
    <w:p>
      <w:pPr>
        <w:pStyle w:val="ListNumber"/>
      </w:pPr>
      <w:r>
        <w:t>It allows grammar, balagha, nuance, scholar readings, and evidence to converge on one canonical scope model.</w:t>
      </w:r>
    </w:p>
    <w:p>
      <w:pPr>
        <w:pStyle w:val="ListNumber"/>
      </w:pPr>
      <w:r>
        <w:t>It keeps tree and D3 views rich while ensuring they remain projections of normalized QR rows rather than the only store of truth.</w:t>
      </w:r>
    </w:p>
    <w:p>
      <w:pPr>
        <w:pStyle w:val="Heading2"/>
      </w:pPr>
      <w:r>
        <w:t>Canonical sentence-structure ontology inside QR</w:t>
      </w:r>
    </w:p>
    <w:tbl>
      <w:tblPr>
        <w:tblStyle w:val="TableGrid"/>
        <w:tblW w:type="auto" w:w="0"/>
        <w:tblLook w:firstColumn="1" w:firstRow="1" w:lastColumn="0" w:lastRow="0" w:noHBand="0" w:noVBand="1" w:val="04A0"/>
      </w:tblPr>
      <w:tblGrid>
        <w:gridCol w:w="4762"/>
        <w:gridCol w:w="4762"/>
      </w:tblGrid>
      <w:tr>
        <w:tc>
          <w:tcPr>
            <w:tcW w:type="dxa" w:w="4762"/>
            <w:shd w:fill="D9EAF7"/>
          </w:tcPr>
          <w:p>
            <w:r>
              <w:rPr>
                <w:b/>
              </w:rPr>
              <w:t>Group</w:t>
            </w:r>
          </w:p>
        </w:tc>
        <w:tc>
          <w:tcPr>
            <w:tcW w:type="dxa" w:w="4762"/>
            <w:shd w:fill="D9EAF7"/>
          </w:tcPr>
          <w:p>
            <w:r>
              <w:rPr>
                <w:b/>
              </w:rPr>
              <w:t>Canonical families</w:t>
            </w:r>
          </w:p>
        </w:tc>
      </w:tr>
      <w:tr>
        <w:tc>
          <w:tcPr>
            <w:tcW w:type="dxa" w:w="4762"/>
          </w:tcPr>
          <w:p>
            <w:r>
              <w:t>Occurrence and scope owners</w:t>
            </w:r>
          </w:p>
        </w:tc>
        <w:tc>
          <w:tcPr>
            <w:tcW w:type="dxa" w:w="4762"/>
          </w:tcPr>
          <w:p>
            <w:r>
              <w:t>qr_ss_occ_word</w:t>
              <w:br/>
              <w:t>qr_ss_occ_segment</w:t>
              <w:br/>
              <w:t>qr_ss_occ_sentence</w:t>
              <w:br/>
              <w:t>qr_ss_occ_clause</w:t>
              <w:br/>
              <w:t>qr_ss_occ_phrase</w:t>
            </w:r>
          </w:p>
        </w:tc>
      </w:tr>
      <w:tr>
        <w:tc>
          <w:tcPr>
            <w:tcW w:type="dxa" w:w="4762"/>
          </w:tcPr>
          <w:p>
            <w:r>
              <w:t>Membership and syntax</w:t>
            </w:r>
          </w:p>
        </w:tc>
        <w:tc>
          <w:tcPr>
            <w:tcW w:type="dxa" w:w="4762"/>
          </w:tcPr>
          <w:p>
            <w:r>
              <w:t>qr_ss_scope_member_map</w:t>
              <w:br/>
              <w:t>qr_ss_scope_relations</w:t>
              <w:br/>
              <w:t>qr_ss_syntax_relations</w:t>
            </w:r>
          </w:p>
        </w:tc>
      </w:tr>
      <w:tr>
        <w:tc>
          <w:tcPr>
            <w:tcW w:type="dxa" w:w="4762"/>
          </w:tcPr>
          <w:p>
            <w:r>
              <w:t>Applied linguistic analysis</w:t>
            </w:r>
          </w:p>
        </w:tc>
        <w:tc>
          <w:tcPr>
            <w:tcW w:type="dxa" w:w="4762"/>
          </w:tcPr>
          <w:p>
            <w:r>
              <w:t>qr_ss_scope_morph_link</w:t>
              <w:br/>
              <w:t>qr_ss_scope_grammar_link</w:t>
              <w:br/>
              <w:t>qr_ss_scope_balagha_link</w:t>
              <w:br/>
              <w:t>qr_ss_scope_nuance</w:t>
              <w:br/>
              <w:t>qr_ss_ellipsis_event</w:t>
            </w:r>
          </w:p>
        </w:tc>
      </w:tr>
      <w:tr>
        <w:tc>
          <w:tcPr>
            <w:tcW w:type="dxa" w:w="4762"/>
          </w:tcPr>
          <w:p>
            <w:r>
              <w:t>Readings and evidence</w:t>
            </w:r>
          </w:p>
        </w:tc>
        <w:tc>
          <w:tcPr>
            <w:tcW w:type="dxa" w:w="4762"/>
          </w:tcPr>
          <w:p>
            <w:r>
              <w:t>qr_ss_scope_reading</w:t>
              <w:br/>
              <w:t>qr_ss_scope_reading_evidence_link</w:t>
              <w:br/>
              <w:t>qr_ss_evidence_item</w:t>
            </w:r>
          </w:p>
        </w:tc>
      </w:tr>
      <w:tr>
        <w:tc>
          <w:tcPr>
            <w:tcW w:type="dxa" w:w="4762"/>
          </w:tcPr>
          <w:p>
            <w:r>
              <w:t>Readings and evidence</w:t>
            </w:r>
          </w:p>
        </w:tc>
        <w:tc>
          <w:tcPr>
            <w:tcW w:type="dxa" w:w="4762"/>
          </w:tcPr>
          <w:p>
            <w:r>
              <w:t>qr_ss_scope_reading</w:t>
              <w:br/>
              <w:t>qr_ss_scope_reading_evidence_link</w:t>
              <w:br/>
              <w:t>qr_evidence_item</w:t>
            </w:r>
          </w:p>
        </w:tc>
      </w:tr>
      <w:tr>
        <w:tc>
          <w:tcPr>
            <w:tcW w:type="dxa" w:w="4762"/>
          </w:tcPr>
          <w:p>
            <w:r>
              <w:t>Scholar and paradigm context</w:t>
            </w:r>
          </w:p>
        </w:tc>
        <w:tc>
          <w:tcPr>
            <w:tcW w:type="dxa" w:w="4762"/>
          </w:tcPr>
          <w:p>
            <w:r>
              <w:t>qr_scholar_profile</w:t>
              <w:br/>
              <w:t>qr_scholar_work</w:t>
              <w:br/>
              <w:t>qr_scholarly_paradigm</w:t>
              <w:br/>
              <w:t>qr_scholar_position</w:t>
              <w:br/>
              <w:t>qr_interpretive_difference</w:t>
              <w:br/>
              <w:t>qr_material_witnesses</w:t>
              <w:br/>
              <w:t>qr_material_witness_observations</w:t>
            </w:r>
          </w:p>
        </w:tc>
      </w:tr>
      <w:tr>
        <w:tc>
          <w:tcPr>
            <w:tcW w:type="dxa" w:w="4762"/>
          </w:tcPr>
          <w:p>
            <w:r>
              <w:t>Surah rollups fed by sentence analysis</w:t>
            </w:r>
          </w:p>
        </w:tc>
        <w:tc>
          <w:tcPr>
            <w:tcW w:type="dxa" w:w="4762"/>
          </w:tcPr>
          <w:p>
            <w:r>
              <w:t>qr_surah_clause_pattern</w:t>
              <w:br/>
              <w:t>qr_surah_register_shift</w:t>
              <w:br/>
              <w:t>qr_surah_ellipsis_pattern</w:t>
            </w:r>
          </w:p>
        </w:tc>
      </w:tr>
    </w:tbl>
    <w:p/>
    <w:p>
      <w:pPr>
        <w:pStyle w:val="Heading2"/>
      </w:pPr>
      <w:r>
        <w:t>Generated helpers that must not replace canonical meaning</w:t>
      </w:r>
    </w:p>
    <w:tbl>
      <w:tblPr>
        <w:tblStyle w:val="TableGrid"/>
        <w:tblW w:type="auto" w:w="0"/>
        <w:tblLook w:firstColumn="1" w:firstRow="1" w:lastColumn="0" w:lastRow="0" w:noHBand="0" w:noVBand="1" w:val="04A0"/>
      </w:tblPr>
      <w:tblGrid>
        <w:gridCol w:w="4762"/>
        <w:gridCol w:w="4762"/>
      </w:tblGrid>
      <w:tr>
        <w:tc>
          <w:tcPr>
            <w:tcW w:type="dxa" w:w="4762"/>
            <w:shd w:fill="D9EAF7"/>
          </w:tcPr>
          <w:p>
            <w:r>
              <w:rPr>
                <w:b/>
              </w:rPr>
              <w:t>Group</w:t>
            </w:r>
          </w:p>
        </w:tc>
        <w:tc>
          <w:tcPr>
            <w:tcW w:type="dxa" w:w="4762"/>
            <w:shd w:fill="D9EAF7"/>
          </w:tcPr>
          <w:p>
            <w:r>
              <w:rPr>
                <w:b/>
              </w:rPr>
              <w:t>Canonical families</w:t>
            </w:r>
          </w:p>
        </w:tc>
      </w:tr>
      <w:tr>
        <w:tc>
          <w:tcPr>
            <w:tcW w:type="dxa" w:w="4762"/>
          </w:tcPr>
          <w:p>
            <w:r>
              <w:t>Projection and UI helpers</w:t>
            </w:r>
          </w:p>
        </w:tc>
        <w:tc>
          <w:tcPr>
            <w:tcW w:type="dxa" w:w="4762"/>
          </w:tcPr>
          <w:p>
            <w:r>
              <w:t>qr_ss_tree_layout</w:t>
              <w:br/>
              <w:t>qr_ss_tree_projection_cache</w:t>
              <w:br/>
              <w:t>qr_ss_tree_node_overlay</w:t>
              <w:br/>
              <w:t>qr_ss_sentence_nuance</w:t>
              <w:br/>
              <w:t>qr_ss_tree_node_reading</w:t>
            </w:r>
          </w:p>
        </w:tc>
      </w:tr>
    </w:tbl>
    <w:p/>
    <w:p>
      <w:pPr>
        <w:pStyle w:val="Heading2"/>
      </w:pPr>
      <w:r>
        <w:t>External LX / Arabic registries linked into QR</w:t>
      </w:r>
    </w:p>
    <w:tbl>
      <w:tblPr>
        <w:tblStyle w:val="TableGrid"/>
        <w:tblW w:type="auto" w:w="0"/>
        <w:tblLook w:firstColumn="1" w:firstRow="1" w:lastColumn="0" w:lastRow="0" w:noHBand="0" w:noVBand="1" w:val="04A0"/>
      </w:tblPr>
      <w:tblGrid>
        <w:gridCol w:w="4762"/>
        <w:gridCol w:w="4762"/>
      </w:tblGrid>
      <w:tr>
        <w:tc>
          <w:tcPr>
            <w:tcW w:type="dxa" w:w="4762"/>
            <w:shd w:fill="D9EAF7"/>
          </w:tcPr>
          <w:p>
            <w:r>
              <w:rPr>
                <w:b/>
              </w:rPr>
              <w:t>Group</w:t>
            </w:r>
          </w:p>
        </w:tc>
        <w:tc>
          <w:tcPr>
            <w:tcW w:type="dxa" w:w="4762"/>
            <w:shd w:fill="D9EAF7"/>
          </w:tcPr>
          <w:p>
            <w:r>
              <w:rPr>
                <w:b/>
              </w:rPr>
              <w:t>Canonical families</w:t>
            </w:r>
          </w:p>
        </w:tc>
      </w:tr>
      <w:tr>
        <w:tc>
          <w:tcPr>
            <w:tcW w:type="dxa" w:w="4762"/>
          </w:tcPr>
          <w:p>
            <w:r>
              <w:t>Reusable registries</w:t>
            </w:r>
          </w:p>
        </w:tc>
        <w:tc>
          <w:tcPr>
            <w:tcW w:type="dxa" w:w="4762"/>
          </w:tcPr>
          <w:p>
            <w:r>
              <w:t>ar_u_root</w:t>
              <w:br/>
              <w:t>ar_u_lemma</w:t>
              <w:br/>
              <w:t>ar_u_morphology</w:t>
              <w:br/>
              <w:t>ar_u_grammar</w:t>
              <w:br/>
              <w:t>ar_u_balagha_term</w:t>
              <w:br/>
              <w:t>ar_u_balagha_relation</w:t>
              <w:br/>
              <w:t>ar_u_balagha_example</w:t>
              <w:br/>
              <w:t>ar_u_particle</w:t>
              <w:br/>
              <w:t>ar_u_governance_pattern</w:t>
            </w:r>
          </w:p>
        </w:tc>
      </w:tr>
      <w:tr>
        <w:tc>
          <w:tcPr>
            <w:tcW w:type="dxa" w:w="4762"/>
          </w:tcPr>
          <w:p>
            <w:r>
              <w:t>Analysis vocabulary</w:t>
            </w:r>
          </w:p>
        </w:tc>
        <w:tc>
          <w:tcPr>
            <w:tcW w:type="dxa" w:w="4762"/>
          </w:tcPr>
          <w:p>
            <w:r>
              <w:t>ar_u_sentence_kind</w:t>
              <w:br/>
              <w:t>ar_u_clause_type</w:t>
              <w:br/>
              <w:t>ar_u_clause_function</w:t>
              <w:br/>
              <w:t>ar_u_phrase_type</w:t>
              <w:br/>
              <w:t>ar_u_phrase_function</w:t>
              <w:br/>
              <w:t>ar_u_syntax_relation_type</w:t>
              <w:br/>
              <w:t>ar_u_reading_type</w:t>
              <w:br/>
              <w:t>ar_u_evidence_type</w:t>
              <w:br/>
              <w:t>ar_u_nuance_type</w:t>
              <w:br/>
              <w:t>ar_u_ellipsis_type</w:t>
            </w:r>
          </w:p>
        </w:tc>
      </w:tr>
    </w:tbl>
    <w:p>
      <w:r>
        <w:br w:type="page"/>
      </w:r>
    </w:p>
    <w:p>
      <w:pPr>
        <w:pStyle w:val="Heading2"/>
      </w:pPr>
      <w:r>
        <w:t>Doctrinal rules for the final sentence stack</w:t>
      </w:r>
    </w:p>
    <w:tbl>
      <w:tblPr>
        <w:tblStyle w:val="TableGrid"/>
        <w:tblW w:type="auto" w:w="0"/>
        <w:tblLook w:firstColumn="1" w:firstRow="1" w:lastColumn="0" w:lastRow="0" w:noHBand="0" w:noVBand="1" w:val="04A0"/>
      </w:tblPr>
      <w:tblGrid>
        <w:gridCol w:w="4762"/>
        <w:gridCol w:w="4762"/>
      </w:tblGrid>
      <w:tr>
        <w:tc>
          <w:tcPr>
            <w:tcW w:type="dxa" w:w="4762"/>
            <w:shd w:fill="D9EAF7"/>
          </w:tcPr>
          <w:p>
            <w:r>
              <w:rPr>
                <w:b/>
              </w:rPr>
              <w:t>Rule</w:t>
            </w:r>
          </w:p>
        </w:tc>
        <w:tc>
          <w:tcPr>
            <w:tcW w:type="dxa" w:w="4762"/>
            <w:shd w:fill="D9EAF7"/>
          </w:tcPr>
          <w:p>
            <w:r>
              <w:rPr>
                <w:b/>
              </w:rPr>
              <w:t>Canonical decision</w:t>
            </w:r>
          </w:p>
        </w:tc>
      </w:tr>
      <w:tr>
        <w:tc>
          <w:tcPr>
            <w:tcW w:type="dxa" w:w="4762"/>
          </w:tcPr>
          <w:p>
            <w:r>
              <w:t>Sentence is a subordinate scope</w:t>
            </w:r>
          </w:p>
        </w:tc>
        <w:tc>
          <w:tcPr>
            <w:tcW w:type="dxa" w:w="4762"/>
          </w:tcPr>
          <w:p>
            <w:r>
              <w:t>qr_ss_occ_sentence is a real Qur'anic discourse scope inside the surah organism, not a detachable parsing island.</w:t>
            </w:r>
          </w:p>
        </w:tc>
      </w:tr>
      <w:tr>
        <w:tc>
          <w:tcPr>
            <w:tcW w:type="dxa" w:w="4762"/>
          </w:tcPr>
          <w:p>
            <w:r>
              <w:t>Clause and phrase are explicit</w:t>
            </w:r>
          </w:p>
        </w:tc>
        <w:tc>
          <w:tcPr>
            <w:tcW w:type="dxa" w:w="4762"/>
          </w:tcPr>
          <w:p>
            <w:r>
              <w:t>Recursive clause and phrase rows are canonical so that subordinate depth, embedded structure, and local rhetorical pressure are queryable.</w:t>
            </w:r>
          </w:p>
        </w:tc>
      </w:tr>
      <w:tr>
        <w:tc>
          <w:tcPr>
            <w:tcW w:type="dxa" w:w="4762"/>
          </w:tcPr>
          <w:p>
            <w:r>
              <w:t>Attached particles are not hidden</w:t>
            </w:r>
          </w:p>
        </w:tc>
        <w:tc>
          <w:tcPr>
            <w:tcW w:type="dxa" w:w="4762"/>
          </w:tcPr>
          <w:p>
            <w:r>
              <w:t>Prefixed conjunctions, prepositions, lam, fa, waw, articles, and attached pronouns are stored as qr_ss_occ_segment rows so that morphology and grammar can work at the sub-word level.</w:t>
            </w:r>
          </w:p>
        </w:tc>
      </w:tr>
      <w:tr>
        <w:tc>
          <w:tcPr>
            <w:tcW w:type="dxa" w:w="4762"/>
          </w:tcPr>
          <w:p>
            <w:r>
              <w:t>Scope owns nuance</w:t>
            </w:r>
          </w:p>
        </w:tc>
        <w:tc>
          <w:tcPr>
            <w:tcW w:type="dxa" w:w="4762"/>
          </w:tcPr>
          <w:p>
            <w:r>
              <w:t>Nuance belongs to the relevant scope before it becomes a sentence summary, reading overlay, or diagram hint.</w:t>
            </w:r>
          </w:p>
        </w:tc>
      </w:tr>
      <w:tr>
        <w:tc>
          <w:tcPr>
            <w:tcW w:type="dxa" w:w="4762"/>
          </w:tcPr>
          <w:p>
            <w:r>
              <w:t>Reading owns evidence</w:t>
            </w:r>
          </w:p>
        </w:tc>
        <w:tc>
          <w:tcPr>
            <w:tcW w:type="dxa" w:w="4762"/>
          </w:tcPr>
          <w:p>
            <w:r>
              <w:t>A scholar or paradigm reading is not complete without explicit evidence ontology, provenance, and dispute status.</w:t>
            </w:r>
          </w:p>
        </w:tc>
      </w:tr>
      <w:tr>
        <w:tc>
          <w:tcPr>
            <w:tcW w:type="dxa" w:w="4762"/>
          </w:tcPr>
          <w:p>
            <w:r>
              <w:t>Tree does not own truth</w:t>
            </w:r>
          </w:p>
        </w:tc>
        <w:tc>
          <w:tcPr>
            <w:tcW w:type="dxa" w:w="4762"/>
          </w:tcPr>
          <w:p>
            <w:r>
              <w:t>Tree rows remain QR-native and important, but they are still downstream of the normalized occurrence, scope, nuance, and reading model.</w:t>
            </w:r>
          </w:p>
        </w:tc>
      </w:tr>
      <w:tr>
        <w:tc>
          <w:tcPr>
            <w:tcW w:type="dxa" w:w="4762"/>
          </w:tcPr>
          <w:p>
            <w:r>
              <w:t>Shared reception and evidence apparatus</w:t>
            </w:r>
          </w:p>
        </w:tc>
        <w:tc>
          <w:tcPr>
            <w:tcW w:type="dxa" w:w="4762"/>
          </w:tcPr>
          <w:p>
            <w:r>
              <w:t>Sentence structure may keep qr_ss_* occurrence and syntax families, but scholars, paradigms, evidence items, and material witnesses remain shared QR families so that classical tafsir and modern empirical approaches meet inside one coherent discourse engine rather than in duplicated sub-schemas.</w:t>
            </w:r>
          </w:p>
        </w:tc>
      </w:tr>
    </w:tbl>
    <w:p/>
    <w:p>
      <w:pPr>
        <w:pStyle w:val="Heading2"/>
      </w:pPr>
      <w:r>
        <w:t>Final sentence-structure doctrine statement</w:t>
      </w:r>
    </w:p>
    <w:p>
      <w:r>
        <w:t>The complete sentence-structure stack in km_quran therefore consists of occurrence rows, scope rows, membership and syntax relations, linked linguistic registries, nuance and ellipsis rows, reading and evidence rows, scholar and paradigm context, tree projections, and surah-level linguistic rollups. This is the final canonical model required if Qur'anic sentence analysis is to remain surah-first, evidence-bearing, and extensible across classical grammar, balagha, tafsir, and scholarly comparison.</w:t>
      </w:r>
    </w:p>
    <w:p>
      <w:pPr/>
    </w:p>
    <w:p>
      <w:pPr>
        <w:pStyle w:val="Heading1"/>
      </w:pPr>
      <w:r>
        <w:t>10. Surah, passage, and sentence document doctrine</w:t>
      </w:r>
    </w:p>
    <w:p>
      <w:pPr/>
      <w:r>
        <w:t>QR needs a proper authored document doctrine, not just canonical rows plus ad hoc notes. The authored layer must mirror the surah-first ontology rather than fragment it. Surah, passage, and sentence are not three unrelated note types; they are three authored depths of one coherent Qur’anic organism.</w:t>
      </w:r>
    </w:p>
    <w:p>
      <w:pPr>
        <w:pStyle w:val="Heading2"/>
      </w:pPr>
      <w:r>
        <w:t>Authored hierarchy</w:t>
      </w:r>
    </w:p>
    <w:p>
      <w:pPr>
        <w:pStyle w:val="ListNumber"/>
      </w:pPr>
      <w:r>
        <w:t>The surah document is the primary authored structural document. It narrates the surah as an organism: identity, movement, passages, pivots, motif constellations, rhetoric, worldview, and reception.</w:t>
      </w:r>
    </w:p>
    <w:p>
      <w:pPr>
        <w:pStyle w:val="ListNumber"/>
      </w:pPr>
      <w:r>
        <w:t>The passage document is the meso-level authored structural document. It explains what one passage does inside the surah and how its sections, motifs, rhetoric, and arguments unfold.</w:t>
      </w:r>
    </w:p>
    <w:p>
      <w:pPr>
        <w:pStyle w:val="ListNumber"/>
      </w:pPr>
      <w:r>
        <w:t>The sentence-structure document is the deep analysis document. It exposes clause depth, phrase structure, morphology, grammar, balagha, nuance, alternate readings, and tree projection for one sentence span.</w:t>
      </w:r>
    </w:p>
    <w:p>
      <w:pPr>
        <w:pStyle w:val="ListNumber"/>
      </w:pPr>
      <w:r>
        <w:t>These documents are linked by typed refs. The document is a curated representation of canonical QR meaning, not the owner of that meaning.</w:t>
      </w:r>
    </w:p>
    <w:p>
      <w:pPr>
        <w:pStyle w:val="Heading2"/>
      </w:pPr>
      <w:r>
        <w:t>Why this matters doctrinally</w:t>
      </w:r>
    </w:p>
    <w:p>
      <w:pPr>
        <w:pStyle w:val="ListBullet"/>
        <w:ind w:left="0"/>
      </w:pPr>
      <w:r>
        <w:t>It prevents the surah from being dissolved into disconnected notes, isolated diagrams, or delivery-task fragments.</w:t>
      </w:r>
    </w:p>
    <w:p>
      <w:pPr>
        <w:pStyle w:val="ListBullet"/>
        <w:ind w:left="0"/>
      </w:pPr>
      <w:r>
        <w:t>It keeps sentence analysis subordinate to passage meaning, and passage meaning subordinate to surah movement.</w:t>
      </w:r>
    </w:p>
    <w:p>
      <w:pPr>
        <w:pStyle w:val="ListBullet"/>
        <w:ind w:left="0"/>
      </w:pPr>
      <w:r>
        <w:t>It allows authored explanations to be rich and pedagogically useful without letting document JSON replace QR as the owner of meaning.</w:t>
      </w:r>
    </w:p>
    <w:p>
      <w:pPr>
        <w:pStyle w:val="ListBullet"/>
        <w:ind w:left="0"/>
      </w:pPr>
      <w:r>
        <w:t>It allows one canonical QR truth to drive many authored outputs: overview documents, study notes, scholar comparisons, ring maps, and D3 surfaces.</w:t>
      </w:r>
    </w:p>
    <w:p>
      <w:pPr>
        <w:pStyle w:val="Heading2"/>
      </w:pPr>
      <w:r>
        <w:t>Broad generic analysis surfaces</w:t>
      </w:r>
    </w:p>
    <w:p>
      <w:pPr/>
      <w:r>
        <w:t>The analysis surface above canonical QR rows should be broad and generic. Passage structures, surah structures, literary mappings, character studies, role analysis, psychology, social dynamics, historical layers, symbols, ring patterns, mirror symmetries, and any future broad view should be modeled as analysis families rather than hardcoded one-off document types.</w:t>
      </w:r>
    </w:p>
    <w:tbl>
      <w:tblPr>
        <w:tblStyle w:val="TableGrid"/>
        <w:tblW w:type="auto" w:w="0"/>
        <w:jc w:val="center"/>
        <w:tblLook w:firstColumn="1" w:firstRow="1" w:lastColumn="0" w:lastRow="0" w:noHBand="0" w:noVBand="1" w:val="04A0"/>
      </w:tblPr>
      <w:tblGrid>
        <w:gridCol w:w="3175"/>
        <w:gridCol w:w="3175"/>
        <w:gridCol w:w="3175"/>
      </w:tblGrid>
      <w:tr>
        <w:tc>
          <w:tcPr>
            <w:tcW w:type="dxa" w:w="3175"/>
            <w:vAlign w:val="center"/>
            <w:tcMar>
              <w:top w:w="90" w:type="dxa"/>
              <w:start w:w="110" w:type="dxa"/>
              <w:bottom w:w="90" w:type="dxa"/>
              <w:end w:w="110" w:type="dxa"/>
            </w:tcMar>
          </w:tcPr>
          <w:p>
            <w:r>
              <w:rPr>
                <w:b/>
                <w:sz w:val="20"/>
              </w:rPr>
              <w:t>Family group</w:t>
            </w:r>
          </w:p>
        </w:tc>
        <w:tc>
          <w:tcPr>
            <w:tcW w:type="dxa" w:w="3175"/>
            <w:vAlign w:val="center"/>
            <w:tcMar>
              <w:top w:w="90" w:type="dxa"/>
              <w:start w:w="110" w:type="dxa"/>
              <w:bottom w:w="90" w:type="dxa"/>
              <w:end w:w="110" w:type="dxa"/>
            </w:tcMar>
          </w:tcPr>
          <w:p>
            <w:r>
              <w:rPr>
                <w:b/>
                <w:sz w:val="20"/>
              </w:rPr>
              <w:t>Representative analysis families</w:t>
            </w:r>
          </w:p>
        </w:tc>
        <w:tc>
          <w:tcPr>
            <w:tcW w:type="dxa" w:w="3175"/>
            <w:vAlign w:val="center"/>
            <w:tcMar>
              <w:top w:w="90" w:type="dxa"/>
              <w:start w:w="110" w:type="dxa"/>
              <w:bottom w:w="90" w:type="dxa"/>
              <w:end w:w="110" w:type="dxa"/>
            </w:tcMar>
          </w:tcPr>
          <w:p>
            <w:r>
              <w:rPr>
                <w:b/>
                <w:sz w:val="20"/>
              </w:rPr>
              <w:t>What they reveal</w:t>
            </w:r>
          </w:p>
        </w:tc>
      </w:tr>
      <w:tr>
        <w:tc>
          <w:tcPr>
            <w:tcW w:type="dxa" w:w="3175"/>
            <w:vAlign w:val="center"/>
            <w:tcMar>
              <w:top w:w="90" w:type="dxa"/>
              <w:start w:w="110" w:type="dxa"/>
              <w:bottom w:w="90" w:type="dxa"/>
              <w:end w:w="110" w:type="dxa"/>
            </w:tcMar>
          </w:tcPr>
          <w:p>
            <w:r>
              <w:rPr>
                <w:sz w:val="20"/>
              </w:rPr>
              <w:t>Structural</w:t>
            </w:r>
          </w:p>
        </w:tc>
        <w:tc>
          <w:tcPr>
            <w:tcW w:type="dxa" w:w="3175"/>
            <w:vAlign w:val="center"/>
            <w:tcMar>
              <w:top w:w="90" w:type="dxa"/>
              <w:start w:w="110" w:type="dxa"/>
              <w:bottom w:w="90" w:type="dxa"/>
              <w:end w:w="110" w:type="dxa"/>
            </w:tcMar>
          </w:tcPr>
          <w:p>
            <w:r>
              <w:rPr>
                <w:sz w:val="20"/>
              </w:rPr>
              <w:t>surah_structure, passage_structure, sentence_structure, ring_structure, symmetry_mapping, discourse_shift</w:t>
            </w:r>
          </w:p>
        </w:tc>
        <w:tc>
          <w:tcPr>
            <w:tcW w:type="dxa" w:w="3175"/>
            <w:vAlign w:val="center"/>
            <w:tcMar>
              <w:top w:w="90" w:type="dxa"/>
              <w:start w:w="110" w:type="dxa"/>
              <w:bottom w:w="90" w:type="dxa"/>
              <w:end w:w="110" w:type="dxa"/>
            </w:tcMar>
          </w:tcPr>
          <w:p>
            <w:r>
              <w:rPr>
                <w:sz w:val="20"/>
              </w:rPr>
              <w:t>How the surah or passage is built, sequenced, nested, and balanced</w:t>
            </w:r>
          </w:p>
        </w:tc>
      </w:tr>
      <w:tr>
        <w:tc>
          <w:tcPr>
            <w:tcW w:type="dxa" w:w="3175"/>
            <w:vAlign w:val="center"/>
            <w:tcMar>
              <w:top w:w="90" w:type="dxa"/>
              <w:start w:w="110" w:type="dxa"/>
              <w:bottom w:w="90" w:type="dxa"/>
              <w:end w:w="110" w:type="dxa"/>
            </w:tcMar>
          </w:tcPr>
          <w:p>
            <w:r>
              <w:rPr>
                <w:sz w:val="20"/>
              </w:rPr>
              <w:t>Literary and semantic</w:t>
            </w:r>
          </w:p>
        </w:tc>
        <w:tc>
          <w:tcPr>
            <w:tcW w:type="dxa" w:w="3175"/>
            <w:vAlign w:val="center"/>
            <w:tcMar>
              <w:top w:w="90" w:type="dxa"/>
              <w:start w:w="110" w:type="dxa"/>
              <w:bottom w:w="90" w:type="dxa"/>
              <w:end w:w="110" w:type="dxa"/>
            </w:tcMar>
          </w:tcPr>
          <w:p>
            <w:r>
              <w:rPr>
                <w:sz w:val="20"/>
              </w:rPr>
              <w:t>literary_mapping, motif_cluster, lexical_texture, symbolism_mapping, theology_mapping, worldview_mapping</w:t>
            </w:r>
          </w:p>
        </w:tc>
        <w:tc>
          <w:tcPr>
            <w:tcW w:type="dxa" w:w="3175"/>
            <w:vAlign w:val="center"/>
            <w:tcMar>
              <w:top w:w="90" w:type="dxa"/>
              <w:start w:w="110" w:type="dxa"/>
              <w:bottom w:w="90" w:type="dxa"/>
              <w:end w:w="110" w:type="dxa"/>
            </w:tcMar>
          </w:tcPr>
          <w:p>
            <w:r>
              <w:rPr>
                <w:sz w:val="20"/>
              </w:rPr>
              <w:t>How language, motifs, symbols, and semantic fields build Qur’anic meaning</w:t>
            </w:r>
          </w:p>
        </w:tc>
      </w:tr>
      <w:tr>
        <w:tc>
          <w:tcPr>
            <w:tcW w:type="dxa" w:w="3175"/>
            <w:vAlign w:val="center"/>
            <w:tcMar>
              <w:top w:w="90" w:type="dxa"/>
              <w:start w:w="110" w:type="dxa"/>
              <w:bottom w:w="90" w:type="dxa"/>
              <w:end w:w="110" w:type="dxa"/>
            </w:tcMar>
          </w:tcPr>
          <w:p>
            <w:r>
              <w:rPr>
                <w:sz w:val="20"/>
              </w:rPr>
              <w:t>Human and social</w:t>
            </w:r>
          </w:p>
        </w:tc>
        <w:tc>
          <w:tcPr>
            <w:tcW w:type="dxa" w:w="3175"/>
            <w:vAlign w:val="center"/>
            <w:tcMar>
              <w:top w:w="90" w:type="dxa"/>
              <w:start w:w="110" w:type="dxa"/>
              <w:bottom w:w="90" w:type="dxa"/>
              <w:end w:w="110" w:type="dxa"/>
            </w:tcMar>
          </w:tcPr>
          <w:p>
            <w:r>
              <w:rPr>
                <w:sz w:val="20"/>
              </w:rPr>
              <w:t>character_analysis, role_analysis, psychology_mapping, sociology_mapping, speaker_addressee_mapping</w:t>
            </w:r>
          </w:p>
        </w:tc>
        <w:tc>
          <w:tcPr>
            <w:tcW w:type="dxa" w:w="3175"/>
            <w:vAlign w:val="center"/>
            <w:tcMar>
              <w:top w:w="90" w:type="dxa"/>
              <w:start w:w="110" w:type="dxa"/>
              <w:bottom w:w="90" w:type="dxa"/>
              <w:end w:w="110" w:type="dxa"/>
            </w:tcMar>
          </w:tcPr>
          <w:p>
            <w:r>
              <w:rPr>
                <w:sz w:val="20"/>
              </w:rPr>
              <w:t>How actors, roles, interior states, and social tensions are distributed</w:t>
            </w:r>
          </w:p>
        </w:tc>
      </w:tr>
      <w:tr>
        <w:tc>
          <w:tcPr>
            <w:tcW w:type="dxa" w:w="3175"/>
            <w:vAlign w:val="center"/>
            <w:tcMar>
              <w:top w:w="90" w:type="dxa"/>
              <w:start w:w="110" w:type="dxa"/>
              <w:bottom w:w="90" w:type="dxa"/>
              <w:end w:w="110" w:type="dxa"/>
            </w:tcMar>
          </w:tcPr>
          <w:p>
            <w:r>
              <w:rPr>
                <w:sz w:val="20"/>
              </w:rPr>
              <w:t>Historical and comparative</w:t>
            </w:r>
          </w:p>
        </w:tc>
        <w:tc>
          <w:tcPr>
            <w:tcW w:type="dxa" w:w="3175"/>
            <w:vAlign w:val="center"/>
            <w:tcMar>
              <w:top w:w="90" w:type="dxa"/>
              <w:start w:w="110" w:type="dxa"/>
              <w:bottom w:w="90" w:type="dxa"/>
              <w:end w:w="110" w:type="dxa"/>
            </w:tcMar>
          </w:tcPr>
          <w:p>
            <w:r>
              <w:rPr>
                <w:sz w:val="20"/>
              </w:rPr>
              <w:t>historical_mapping, chronology_mapping, geography_mapping, surah_pairing, cross_surah_relation</w:t>
            </w:r>
          </w:p>
        </w:tc>
        <w:tc>
          <w:tcPr>
            <w:tcW w:type="dxa" w:w="3175"/>
            <w:vAlign w:val="center"/>
            <w:tcMar>
              <w:top w:w="90" w:type="dxa"/>
              <w:start w:w="110" w:type="dxa"/>
              <w:bottom w:w="90" w:type="dxa"/>
              <w:end w:w="110" w:type="dxa"/>
            </w:tcMar>
          </w:tcPr>
          <w:p>
            <w:r>
              <w:rPr>
                <w:sz w:val="20"/>
              </w:rPr>
              <w:t>How the text relates across time, place, and inter-surah comparison</w:t>
            </w:r>
          </w:p>
        </w:tc>
      </w:tr>
      <w:tr>
        <w:tc>
          <w:tcPr>
            <w:tcW w:type="dxa" w:w="3175"/>
            <w:vAlign w:val="center"/>
            <w:tcMar>
              <w:top w:w="90" w:type="dxa"/>
              <w:start w:w="110" w:type="dxa"/>
              <w:bottom w:w="90" w:type="dxa"/>
              <w:end w:w="110" w:type="dxa"/>
            </w:tcMar>
          </w:tcPr>
          <w:p>
            <w:r>
              <w:rPr>
                <w:sz w:val="20"/>
              </w:rPr>
              <w:t>Reasoning and reception</w:t>
            </w:r>
          </w:p>
        </w:tc>
        <w:tc>
          <w:tcPr>
            <w:tcW w:type="dxa" w:w="3175"/>
            <w:vAlign w:val="center"/>
            <w:tcMar>
              <w:top w:w="90" w:type="dxa"/>
              <w:start w:w="110" w:type="dxa"/>
              <w:bottom w:w="90" w:type="dxa"/>
              <w:end w:w="110" w:type="dxa"/>
            </w:tcMar>
          </w:tcPr>
          <w:p>
            <w:r>
              <w:rPr>
                <w:sz w:val="20"/>
              </w:rPr>
              <w:t>argument_evidence, proof_tree, scholar_comparison, debate_cluster</w:t>
            </w:r>
          </w:p>
        </w:tc>
        <w:tc>
          <w:tcPr>
            <w:tcW w:type="dxa" w:w="3175"/>
            <w:vAlign w:val="center"/>
            <w:tcMar>
              <w:top w:w="90" w:type="dxa"/>
              <w:start w:w="110" w:type="dxa"/>
              <w:bottom w:w="90" w:type="dxa"/>
              <w:end w:w="110" w:type="dxa"/>
            </w:tcMar>
          </w:tcPr>
          <w:p>
            <w:r>
              <w:rPr>
                <w:sz w:val="20"/>
              </w:rPr>
              <w:t>How claims, evidence, paradigms, and reception histories can be compared</w:t>
            </w:r>
          </w:p>
        </w:tc>
      </w:tr>
      <w:tr>
        <w:tc>
          <w:tcPr>
            <w:tcW w:type="dxa" w:w="3175"/>
          </w:tcPr>
          <w:p>
            <w:r>
              <w:t>Empirical and textual witness</w:t>
            </w:r>
          </w:p>
        </w:tc>
        <w:tc>
          <w:tcPr>
            <w:tcW w:type="dxa" w:w="3175"/>
          </w:tcPr>
          <w:p>
            <w:r>
              <w:t>manuscript_mapping, inscription_mapping, archaeology_context, codicology_mapping, paleography_mapping, radiocarbon_dating, qiraat_rasm_transmission</w:t>
            </w:r>
          </w:p>
        </w:tc>
        <w:tc>
          <w:tcPr>
            <w:tcW w:type="dxa" w:w="3175"/>
          </w:tcPr>
          <w:p>
            <w:r>
              <w:t>How material witnesses, dating claims, script history, and transmission questions are rendered without creating one hardcoded document type per modern method.</w:t>
            </w:r>
          </w:p>
        </w:tc>
      </w:tr>
    </w:tbl>
    <w:p>
      <w:pPr>
        <w:pStyle w:val="Heading2"/>
      </w:pPr>
      <w:r>
        <w:t>Diagram doctrine for broad surfaces</w:t>
      </w:r>
    </w:p>
    <w:p>
      <w:pPr/>
      <w:r>
        <w:t>Every broad analysis surface may choose a diagram grammar, but the diagram remains a projection. Ring maps, mirror maps, force graphs, timelines, tree views, scholar matrices, and symbolic overlays are all legitimate, but none may become the canonical owner of the facts they show.</w:t>
      </w:r>
    </w:p>
    <w:tbl>
      <w:tblPr>
        <w:tblStyle w:val="TableGrid"/>
        <w:tblW w:type="auto" w:w="0"/>
        <w:jc w:val="center"/>
        <w:tblLook w:firstColumn="1" w:firstRow="1" w:lastColumn="0" w:lastRow="0" w:noHBand="0" w:noVBand="1" w:val="04A0"/>
      </w:tblPr>
      <w:tblGrid>
        <w:gridCol w:w="3175"/>
        <w:gridCol w:w="3175"/>
        <w:gridCol w:w="3175"/>
      </w:tblGrid>
      <w:tr>
        <w:tc>
          <w:tcPr>
            <w:tcW w:type="dxa" w:w="3175"/>
            <w:vAlign w:val="center"/>
            <w:tcMar>
              <w:top w:w="90" w:type="dxa"/>
              <w:start w:w="110" w:type="dxa"/>
              <w:bottom w:w="90" w:type="dxa"/>
              <w:end w:w="110" w:type="dxa"/>
            </w:tcMar>
          </w:tcPr>
          <w:p>
            <w:r>
              <w:rPr>
                <w:b/>
                <w:sz w:val="20"/>
              </w:rPr>
              <w:t>Diagram grammar</w:t>
            </w:r>
          </w:p>
        </w:tc>
        <w:tc>
          <w:tcPr>
            <w:tcW w:type="dxa" w:w="3175"/>
            <w:vAlign w:val="center"/>
            <w:tcMar>
              <w:top w:w="90" w:type="dxa"/>
              <w:start w:w="110" w:type="dxa"/>
              <w:bottom w:w="90" w:type="dxa"/>
              <w:end w:w="110" w:type="dxa"/>
            </w:tcMar>
          </w:tcPr>
          <w:p>
            <w:r>
              <w:rPr>
                <w:b/>
                <w:sz w:val="20"/>
              </w:rPr>
              <w:t>Typical renderers</w:t>
            </w:r>
          </w:p>
        </w:tc>
        <w:tc>
          <w:tcPr>
            <w:tcW w:type="dxa" w:w="3175"/>
            <w:vAlign w:val="center"/>
            <w:tcMar>
              <w:top w:w="90" w:type="dxa"/>
              <w:start w:w="110" w:type="dxa"/>
              <w:bottom w:w="90" w:type="dxa"/>
              <w:end w:w="110" w:type="dxa"/>
            </w:tcMar>
          </w:tcPr>
          <w:p>
            <w:r>
              <w:rPr>
                <w:b/>
                <w:sz w:val="20"/>
              </w:rPr>
              <w:t>Typical use</w:t>
            </w:r>
          </w:p>
        </w:tc>
      </w:tr>
      <w:tr>
        <w:tc>
          <w:tcPr>
            <w:tcW w:type="dxa" w:w="3175"/>
            <w:vAlign w:val="center"/>
            <w:tcMar>
              <w:top w:w="90" w:type="dxa"/>
              <w:start w:w="110" w:type="dxa"/>
              <w:bottom w:w="90" w:type="dxa"/>
              <w:end w:w="110" w:type="dxa"/>
            </w:tcMar>
          </w:tcPr>
          <w:p>
            <w:r>
              <w:rPr>
                <w:sz w:val="20"/>
              </w:rPr>
              <w:t>Tree and hierarchy</w:t>
            </w:r>
          </w:p>
        </w:tc>
        <w:tc>
          <w:tcPr>
            <w:tcW w:type="dxa" w:w="3175"/>
            <w:vAlign w:val="center"/>
            <w:tcMar>
              <w:top w:w="90" w:type="dxa"/>
              <w:start w:w="110" w:type="dxa"/>
              <w:bottom w:w="90" w:type="dxa"/>
              <w:end w:w="110" w:type="dxa"/>
            </w:tcMar>
          </w:tcPr>
          <w:p>
            <w:r>
              <w:rPr>
                <w:sz w:val="20"/>
              </w:rPr>
              <w:t>d3_tidy_tree, d3_radial_tree</w:t>
            </w:r>
          </w:p>
        </w:tc>
        <w:tc>
          <w:tcPr>
            <w:tcW w:type="dxa" w:w="3175"/>
            <w:vAlign w:val="center"/>
            <w:tcMar>
              <w:top w:w="90" w:type="dxa"/>
              <w:start w:w="110" w:type="dxa"/>
              <w:bottom w:w="90" w:type="dxa"/>
              <w:end w:w="110" w:type="dxa"/>
            </w:tcMar>
          </w:tcPr>
          <w:p>
            <w:r>
              <w:rPr>
                <w:sz w:val="20"/>
              </w:rPr>
              <w:t>sentence-structure views, proof trees, nested structural layers</w:t>
            </w:r>
          </w:p>
        </w:tc>
      </w:tr>
      <w:tr>
        <w:tc>
          <w:tcPr>
            <w:tcW w:type="dxa" w:w="3175"/>
            <w:vAlign w:val="center"/>
            <w:tcMar>
              <w:top w:w="90" w:type="dxa"/>
              <w:start w:w="110" w:type="dxa"/>
              <w:bottom w:w="90" w:type="dxa"/>
              <w:end w:w="110" w:type="dxa"/>
            </w:tcMar>
          </w:tcPr>
          <w:p>
            <w:r>
              <w:rPr>
                <w:sz w:val="20"/>
              </w:rPr>
              <w:t>Graph and constellation</w:t>
            </w:r>
          </w:p>
        </w:tc>
        <w:tc>
          <w:tcPr>
            <w:tcW w:type="dxa" w:w="3175"/>
            <w:vAlign w:val="center"/>
            <w:tcMar>
              <w:top w:w="90" w:type="dxa"/>
              <w:start w:w="110" w:type="dxa"/>
              <w:bottom w:w="90" w:type="dxa"/>
              <w:end w:w="110" w:type="dxa"/>
            </w:tcMar>
          </w:tcPr>
          <w:p>
            <w:r>
              <w:rPr>
                <w:sz w:val="20"/>
              </w:rPr>
              <w:t>d3_force_graph, d3_cluster, d3_arc, d3_chord</w:t>
            </w:r>
          </w:p>
        </w:tc>
        <w:tc>
          <w:tcPr>
            <w:tcW w:type="dxa" w:w="3175"/>
            <w:vAlign w:val="center"/>
            <w:tcMar>
              <w:top w:w="90" w:type="dxa"/>
              <w:start w:w="110" w:type="dxa"/>
              <w:bottom w:w="90" w:type="dxa"/>
              <w:end w:w="110" w:type="dxa"/>
            </w:tcMar>
          </w:tcPr>
          <w:p>
            <w:r>
              <w:rPr>
                <w:sz w:val="20"/>
              </w:rPr>
              <w:t>motif constellations, character networks, worldview and role maps</w:t>
            </w:r>
          </w:p>
        </w:tc>
      </w:tr>
      <w:tr>
        <w:tc>
          <w:tcPr>
            <w:tcW w:type="dxa" w:w="3175"/>
            <w:vAlign w:val="center"/>
            <w:tcMar>
              <w:top w:w="90" w:type="dxa"/>
              <w:start w:w="110" w:type="dxa"/>
              <w:bottom w:w="90" w:type="dxa"/>
              <w:end w:w="110" w:type="dxa"/>
            </w:tcMar>
          </w:tcPr>
          <w:p>
            <w:r>
              <w:rPr>
                <w:sz w:val="20"/>
              </w:rPr>
              <w:t>Sequence and timeline</w:t>
            </w:r>
          </w:p>
        </w:tc>
        <w:tc>
          <w:tcPr>
            <w:tcW w:type="dxa" w:w="3175"/>
            <w:vAlign w:val="center"/>
            <w:tcMar>
              <w:top w:w="90" w:type="dxa"/>
              <w:start w:w="110" w:type="dxa"/>
              <w:bottom w:w="90" w:type="dxa"/>
              <w:end w:w="110" w:type="dxa"/>
            </w:tcMar>
          </w:tcPr>
          <w:p>
            <w:r>
              <w:rPr>
                <w:sz w:val="20"/>
              </w:rPr>
              <w:t>d3_timeline, d3_bands</w:t>
            </w:r>
          </w:p>
        </w:tc>
        <w:tc>
          <w:tcPr>
            <w:tcW w:type="dxa" w:w="3175"/>
            <w:vAlign w:val="center"/>
            <w:tcMar>
              <w:top w:w="90" w:type="dxa"/>
              <w:start w:w="110" w:type="dxa"/>
              <w:bottom w:w="90" w:type="dxa"/>
              <w:end w:w="110" w:type="dxa"/>
            </w:tcMar>
          </w:tcPr>
          <w:p>
            <w:r>
              <w:rPr>
                <w:sz w:val="20"/>
              </w:rPr>
              <w:t>passage development, chronology, discourse movement</w:t>
            </w:r>
          </w:p>
        </w:tc>
      </w:tr>
      <w:tr>
        <w:tc>
          <w:tcPr>
            <w:tcW w:type="dxa" w:w="3175"/>
            <w:vAlign w:val="center"/>
            <w:tcMar>
              <w:top w:w="90" w:type="dxa"/>
              <w:start w:w="110" w:type="dxa"/>
              <w:bottom w:w="90" w:type="dxa"/>
              <w:end w:w="110" w:type="dxa"/>
            </w:tcMar>
          </w:tcPr>
          <w:p>
            <w:r>
              <w:rPr>
                <w:sz w:val="20"/>
              </w:rPr>
              <w:t>Matrix and density</w:t>
            </w:r>
          </w:p>
        </w:tc>
        <w:tc>
          <w:tcPr>
            <w:tcW w:type="dxa" w:w="3175"/>
            <w:vAlign w:val="center"/>
            <w:tcMar>
              <w:top w:w="90" w:type="dxa"/>
              <w:start w:w="110" w:type="dxa"/>
              <w:bottom w:w="90" w:type="dxa"/>
              <w:end w:w="110" w:type="dxa"/>
            </w:tcMar>
          </w:tcPr>
          <w:p>
            <w:r>
              <w:rPr>
                <w:sz w:val="20"/>
              </w:rPr>
              <w:t>d3_matrix, d3_heatmap</w:t>
            </w:r>
          </w:p>
        </w:tc>
        <w:tc>
          <w:tcPr>
            <w:tcW w:type="dxa" w:w="3175"/>
            <w:vAlign w:val="center"/>
            <w:tcMar>
              <w:top w:w="90" w:type="dxa"/>
              <w:start w:w="110" w:type="dxa"/>
              <w:bottom w:w="90" w:type="dxa"/>
              <w:end w:w="110" w:type="dxa"/>
            </w:tcMar>
          </w:tcPr>
          <w:p>
            <w:r>
              <w:rPr>
                <w:sz w:val="20"/>
              </w:rPr>
              <w:t>scholar comparison, motif density, structural correspondence</w:t>
            </w:r>
          </w:p>
        </w:tc>
      </w:tr>
      <w:tr>
        <w:tc>
          <w:tcPr>
            <w:tcW w:type="dxa" w:w="3175"/>
            <w:vAlign w:val="center"/>
            <w:tcMar>
              <w:top w:w="90" w:type="dxa"/>
              <w:start w:w="110" w:type="dxa"/>
              <w:bottom w:w="90" w:type="dxa"/>
              <w:end w:w="110" w:type="dxa"/>
            </w:tcMar>
          </w:tcPr>
          <w:p>
            <w:r>
              <w:rPr>
                <w:sz w:val="20"/>
              </w:rPr>
              <w:t>Custom structural maps</w:t>
            </w:r>
          </w:p>
        </w:tc>
        <w:tc>
          <w:tcPr>
            <w:tcW w:type="dxa" w:w="3175"/>
            <w:vAlign w:val="center"/>
            <w:tcMar>
              <w:top w:w="90" w:type="dxa"/>
              <w:start w:w="110" w:type="dxa"/>
              <w:bottom w:w="90" w:type="dxa"/>
              <w:end w:w="110" w:type="dxa"/>
            </w:tcMar>
          </w:tcPr>
          <w:p>
            <w:r>
              <w:rPr>
                <w:sz w:val="20"/>
              </w:rPr>
              <w:t>d3_custom</w:t>
            </w:r>
          </w:p>
        </w:tc>
        <w:tc>
          <w:tcPr>
            <w:tcW w:type="dxa" w:w="3175"/>
            <w:vAlign w:val="center"/>
            <w:tcMar>
              <w:top w:w="90" w:type="dxa"/>
              <w:start w:w="110" w:type="dxa"/>
              <w:bottom w:w="90" w:type="dxa"/>
              <w:end w:w="110" w:type="dxa"/>
            </w:tcMar>
          </w:tcPr>
          <w:p>
            <w:r>
              <w:rPr>
                <w:sz w:val="20"/>
              </w:rPr>
              <w:t>ring, mirror, diamond, parallel-panel, and symbolic layouts</w:t>
            </w:r>
          </w:p>
        </w:tc>
      </w:tr>
    </w:tbl>
    <w:p>
      <w:pPr>
        <w:pStyle w:val="Heading2"/>
      </w:pPr>
      <w:r>
        <w:t>Final doctrinal statement for authored documents</w:t>
      </w:r>
    </w:p>
    <w:p>
      <w:pPr/>
      <w:r>
        <w:t>The proper authored doctrine is therefore surah document first, passage document second, sentence-structure document third. Above these, QR may expose broad generic analysis surfaces and D3-ready diagrams, but those surfaces remain projections of canonical owner-native rows. This preserves surah coherence, protects canonical meaning from drifting into notes or visuals, and allows the platform to grow into richer literary, psychological, social, symbolic, historical, and comparative renderings without abandoning the surah-first core.</w:t>
      </w:r>
    </w:p>
    <w:p>
      <w:pPr>
        <w:pStyle w:val="Heading1"/>
      </w:pPr>
      <w:r>
        <w:t>11. Final simplification and paradigm-complete doctrine</w:t>
      </w:r>
    </w:p>
    <w:p>
      <w:r>
        <w:t>The final philosophical rule is that km_quran must be broad enough to carry the full Qur’anic discourse field—from classical tafsir, grammar, balagha, usul, kalam, and literary coherence through qira’at, rasm, manuscript studies, epigraphy, archaeology, codicology, palaeography, radiocarbon dating, and late-antique contextual comparison—while still remaining one surah-first analytical engine rather than a pile of parallel mini-systems.</w:t>
      </w:r>
    </w:p>
    <w:p>
      <w:r>
        <w:t>Final anti-overengineering doctrine</w:t>
      </w:r>
    </w:p>
    <w:p>
      <w:pPr>
        <w:pStyle w:val="ListBullet"/>
      </w:pPr>
      <w:r>
        <w:t>Do not build a separate scholar-work-paradigm-evidence apparatus for every subdomain such as sentence structure, manuscript studies, or archaeology. One shared QR apparatus should serve all of them.</w:t>
      </w:r>
    </w:p>
    <w:p>
      <w:pPr>
        <w:pStyle w:val="ListBullet"/>
      </w:pPr>
      <w:r>
        <w:t>Do not create one table family for every modern method. Manuscript, inscriptional, archaeological, codicological, palaeographic, and radiocarbon material should enter QR through a minimal material-witness layer plus the shared evidence ontology.</w:t>
      </w:r>
    </w:p>
    <w:p>
      <w:pPr>
        <w:pStyle w:val="ListBullet"/>
      </w:pPr>
      <w:r>
        <w:t>Do not confuse empirical breadth with schema sprawl. A paradigm-complete Qur’an DB is not the one with the most tables; it is the one whose canonical rows can host the most intellectually different readings without duplication.</w:t>
      </w:r>
    </w:p>
    <w:p>
      <w:pPr>
        <w:pStyle w:val="ListBullet"/>
      </w:pPr>
      <w:r>
        <w:t>Do not let modern empirical paradigms displace the surah-first doctrine. Material witnesses, dates, and contexts are evidence-bearing inputs inside the wider Qur’anic discourse field, not substitute owners of Qur’anic meaning.</w:t>
      </w:r>
    </w:p>
    <w:p>
      <w:pPr>
        <w:pStyle w:val="ListBullet"/>
      </w:pPr>
      <w:r>
        <w:t>Do not let classical discourse remain detached from modern discourse. The same engine should allow one to move from a mufassir’s reading to a manuscript witness, an inscription datum, a codicological observation, or a radiocarbon claim and then back again into Qur’anic argument and reception history.</w:t>
      </w:r>
    </w:p>
    <w:p>
      <w:r>
        <w:t>Minimal doctrinal additions needed for paradigm-complete coverage</w:t>
      </w:r>
    </w:p>
    <w:p>
      <w:pPr>
        <w:pStyle w:val="ListBullet"/>
      </w:pPr>
      <w:r>
        <w:t>A shared qr_material_witnesses family for manuscripts, inscriptions, fragments, codices, palimpsests, and related material-textual artifacts.</w:t>
      </w:r>
    </w:p>
    <w:p>
      <w:pPr>
        <w:pStyle w:val="ListBullet"/>
      </w:pPr>
      <w:r>
        <w:t>A shared qr_material_witness_observations family for codicology, palaeography, archaeological context, laboratory dating, provenance notes, and similar empirical observations.</w:t>
      </w:r>
    </w:p>
    <w:p>
      <w:pPr>
        <w:pStyle w:val="ListBullet"/>
      </w:pPr>
      <w:r>
        <w:t>A shared qr_evidence_items ontology that can hold both classical and modern evidence kinds without forcing either side into ad hoc notes.</w:t>
      </w:r>
    </w:p>
    <w:p>
      <w:r>
        <w:t>Final doctrine statement</w:t>
      </w:r>
    </w:p>
    <w:p>
      <w:r>
        <w:t>km_quran is therefore final only when one coherent surah-first schema can carry classical tafsir and balagha, literary and theological readings, qira’at and rasm transmission, manuscript and inscriptional evidence, archaeological context, radiocarbon and material-scientific claims, and modern historical-critical comparison without duplicating its scholar/evidence apparatus or letting notes, diagrams, or specialized subdomains become the real owners of meaning.</w:t>
      </w:r>
    </w:p>
    <w:p>
      <w:r>
        <w:br w:type="page"/>
      </w:r>
    </w:p>
    <w:p>
      <w:pPr>
        <w:pStyle w:val="Heading1"/>
      </w:pPr>
      <w:r>
        <w:t>12. Final lexical-indexing and sentence-structure doctrine</w:t>
      </w:r>
    </w:p>
    <w:p>
      <w:r>
        <w:t>The final doctrinal correction is that km_quran should remain broad without becoming internally duplicated. Visible Qur'anic words belong to the corpus base; sentence structure belongs to the discourse-analysis layer; and universal lemmas remain external in LX / Arabic. This preserves surah-first coherence while still allowing full classical Arabic analysis and modern empirical comparison.</w:t>
      </w:r>
    </w:p>
    <w:p>
      <w:pPr>
        <w:pStyle w:val="Heading2"/>
      </w:pPr>
      <w:r>
        <w:t>Doctrinal simplification rule</w:t>
      </w:r>
    </w:p>
    <w:p>
      <w:pPr>
        <w:pStyle w:val="ListBullet"/>
      </w:pPr>
      <w:r>
        <w:t>Do not let sentence structure re-own the visible word layer if qr_word_occurrences already owns it canonically.</w:t>
      </w:r>
    </w:p>
    <w:p>
      <w:pPr>
        <w:pStyle w:val="ListBullet"/>
      </w:pPr>
      <w:r>
        <w:t>Do not discard Qur'an-specific lemma indexing merely because universal lemma ownership remains in LX. Both are needed, but they serve different roles.</w:t>
      </w:r>
    </w:p>
    <w:p>
      <w:pPr>
        <w:pStyle w:val="ListBullet"/>
      </w:pPr>
      <w:r>
        <w:t>Do not create an over-engineered generic word-word-lemma link family when qr_lemma_occurrences already expresses the correct Qur'an-specific occurrence-to-lemma relationship.</w:t>
      </w:r>
    </w:p>
    <w:p>
      <w:pPr>
        <w:pStyle w:val="ListBullet"/>
      </w:pPr>
      <w:r>
        <w:t>Do let sentence structure go deeper than the corpus base by owning segments, sentence spans, clause depth, phrase hierarchy, nuance, ellipsis, readings, and tree projections.</w:t>
      </w:r>
    </w:p>
    <w:p>
      <w:pPr>
        <w:pStyle w:val="Heading2"/>
      </w:pPr>
      <w:r>
        <w:t>Final doctrinal split</w:t>
      </w:r>
    </w:p>
    <w:p>
      <w:r>
        <w:rPr>
          <w:b/>
        </w:rPr>
        <w:t xml:space="preserve">Corpus owner rows: </w:t>
      </w:r>
      <w:r>
        <w:t>qr_word_occurrences, qr_lemmas, qr_lemma_occurrences.</w:t>
      </w:r>
    </w:p>
    <w:p>
      <w:r>
        <w:rPr>
          <w:b/>
        </w:rPr>
        <w:t xml:space="preserve">Sentence-structure owner rows: </w:t>
      </w:r>
      <w:r>
        <w:t>qr_ss_occ_segment, qr_ss_occ_sentence, qr_ss_occ_clause, qr_ss_occ_phrase, qr_ss_scope_member_map, qr_ss_scope_relations, qr_ss_syntax_relations, qr_ss_scope_morph_link, qr_ss_scope_grammar_link, qr_ss_scope_balagha_link, qr_ss_scope_nuance, qr_ss_ellipsis_event, qr_ss_scope_reading, qr_ss_scope_reading_evidence_link, qr_ss_tree, qr_ss_tree_node, qr_ss_tree_edge.</w:t>
      </w:r>
    </w:p>
    <w:p>
      <w:r>
        <w:rPr>
          <w:b/>
        </w:rPr>
        <w:t xml:space="preserve">External lexical truth: </w:t>
      </w:r>
      <w:r>
        <w:t>ar_u_root, ar_u_lemma, ar_u_morphology, ar_u_grammar, and the wider Arabic rhetorical and governance registries.</w:t>
      </w:r>
    </w:p>
    <w:p>
      <w:pPr>
        <w:pStyle w:val="Heading2"/>
      </w:pPr>
      <w:r>
        <w:t>Why this matters for paradigm-complete Qur'anic study</w:t>
      </w:r>
    </w:p>
    <w:p>
      <w:pPr>
        <w:pStyle w:val="ListBullet"/>
      </w:pPr>
      <w:r>
        <w:t>Classical grammar, balagha, tafsir, and usul all benefit from a stable Qur'an-specific lemma occurrence layer.</w:t>
      </w:r>
    </w:p>
    <w:p>
      <w:pPr>
        <w:pStyle w:val="ListBullet"/>
      </w:pPr>
      <w:r>
        <w:t>Literary, thematic, and lexical texture analysis also depend on lemma occurrence rather than only raw surface forms.</w:t>
      </w:r>
    </w:p>
    <w:p>
      <w:pPr>
        <w:pStyle w:val="ListBullet"/>
      </w:pPr>
      <w:r>
        <w:t>Modern manuscript, inscriptional, archaeological, codicological, palaeographic, and laboratory-dating paradigms can still enter the same engine through shared evidence and material-witness families without changing this lexical split.</w:t>
      </w:r>
    </w:p>
    <w:p>
      <w:pPr>
        <w:pStyle w:val="ListBullet"/>
      </w:pPr>
      <w:r>
        <w:t>The result is breadth without duplication: one word owner, one lemma-occurrence owner, one external lemma registry owner, and one full-depth sentence-structure stack.</w:t>
      </w:r>
    </w:p>
    <w:p>
      <w:pPr>
        <w:pStyle w:val="Heading2"/>
      </w:pPr>
      <w:r>
        <w:t>Final doctrine statement</w:t>
      </w:r>
    </w:p>
    <w:p>
      <w:r>
        <w:t>km_quran is final only when the same surah-first engine can move from word occurrence to lemma occurrence, from lemma occurrence to sentence and clause depth, from sentence depth to rhetoric and balagha, and from those classical layers to modern material and historical paradigms without duplicating the ownership of words, lemmas, or meanings.</w:t>
      </w:r>
    </w:p>
    <w:p>
      <w:r>
        <w:br w:type="page"/>
      </w:r>
    </w:p>
    <w:p>
      <w:pPr>
        <w:pStyle w:val="Heading1"/>
      </w:pPr>
      <w:r>
        <w:t>13. Outer historical, textual, and civilizational horizon</w:t>
      </w:r>
    </w:p>
    <w:p>
      <w:r>
        <w:t>A surah-first doctrine still needs one outer horizon. The Qur'an does not float in abstraction: passages may be studied against Torah and Gospel relations, late-antique intellectual currents, political pressures, archaeological and manuscript evidence, script history, preservation debates, and modern academic questions. But these materials must enter QR as a contextual horizon around canonical Qur'anic meaning, not as a replacement for it.</w:t>
      </w:r>
    </w:p>
    <w:p>
      <w:pPr>
        <w:pStyle w:val="Heading2"/>
      </w:pPr>
      <w:r>
        <w:t>Why this layer is needed</w:t>
      </w:r>
    </w:p>
    <w:p>
      <w:r>
        <w:t>Without a formal outer horizon, contextual work becomes scattered across notes and ad hoc documents. The result is predictable: preservation stories, manuscript claims, carbon dates, script-shape theories, imperial politics, Jewish and Christian parallels, and modern academic questions start living in disconnected files rather than being queryable by surah, passage, sentence, scholar, argument, and evidence. QR therefore needs one disciplined contextual horizon that is broad enough to host all of these materials while still remaining subordinate to the surah organism.</w:t>
      </w:r>
    </w:p>
    <w:p>
      <w:pPr>
        <w:pStyle w:val="Heading2"/>
      </w:pPr>
      <w:r>
        <w:t>What this layer must be able to host</w:t>
      </w:r>
    </w:p>
    <w:p>
      <w:pPr>
        <w:pStyle w:val="ListBullet"/>
      </w:pPr>
      <w:r>
        <w:t>Torah, Gospel, and broader Jewish, Christian, and late-antique scriptural relations</w:t>
      </w:r>
    </w:p>
    <w:p>
      <w:pPr>
        <w:pStyle w:val="ListBullet"/>
      </w:pPr>
      <w:r>
        <w:t>historical environment of western Arabia and its connected zones</w:t>
      </w:r>
    </w:p>
    <w:p>
      <w:pPr>
        <w:pStyle w:val="ListBullet"/>
      </w:pPr>
      <w:r>
        <w:t>politics of the Qur’anic era, regional powers, frontier pressures, and confessional competition</w:t>
      </w:r>
    </w:p>
    <w:p>
      <w:pPr>
        <w:pStyle w:val="ListBullet"/>
      </w:pPr>
      <w:r>
        <w:t>major books, major ideas, and major interpretive paradigms from classical tafsir to modern critical scholarship</w:t>
      </w:r>
    </w:p>
    <w:p>
      <w:pPr>
        <w:pStyle w:val="ListBullet"/>
      </w:pPr>
      <w:r>
        <w:t>Western academic questions, Muslim academic questions, and paradigm-aware debate clusters</w:t>
      </w:r>
    </w:p>
    <w:p>
      <w:pPr>
        <w:pStyle w:val="ListBullet"/>
      </w:pPr>
      <w:r>
        <w:t>archaeological data, inscriptions, manuscripts, codicology, palaeography, and carbon-dating evidence</w:t>
      </w:r>
    </w:p>
    <w:p>
      <w:pPr>
        <w:pStyle w:val="ListBullet"/>
      </w:pPr>
      <w:r>
        <w:t>origin and development of Arabic letter shape, rasm practice, and text-type formation</w:t>
      </w:r>
    </w:p>
    <w:p>
      <w:pPr>
        <w:pStyle w:val="ListBullet"/>
      </w:pPr>
      <w:r>
        <w:t>preservation discourse, preservation challenges, and polemical preservation stories</w:t>
      </w:r>
    </w:p>
    <w:p>
      <w:pPr>
        <w:pStyle w:val="Heading2"/>
      </w:pPr>
      <w:r>
        <w:t>Doctrinal guardrail</w:t>
      </w:r>
    </w:p>
    <w:p>
      <w:r>
        <w:t>This horizon must not explode into separate ontologies for every modern topic. QR should not accumulate one family for each new debate label. Instead, contextual topics, claims, evidence, tradition relations, material witnesses, text-history profiles, preservation discourse, and academic questions should form one generic but disciplined outer horizon. The app can then construct dossiers and projections from that horizon without multiplying tables every time a new topic appears.</w:t>
      </w:r>
    </w:p>
    <w:p>
      <w:pPr>
        <w:pStyle w:val="Heading2"/>
      </w:pPr>
      <w:r>
        <w:t>App and document doctrine</w:t>
      </w:r>
    </w:p>
    <w:p>
      <w:r>
        <w:t>The application should be able to open a surah dossier, passage dossier, sentence dossier where necessary, and debate dossier. Each dossier is an authored document surface linked back to canonical QR rows: surah dossiers for overall milieu and witness questions, passage dossiers for focused contextual files, sentence dossiers for highly local lexical or textual controversies, and debate dossiers for paradigm-aware comparison. None of these documents own the meaning; they stage and organize it.</w:t>
      </w:r>
    </w:p>
    <w:p>
      <w:pPr>
        <w:pStyle w:val="Heading2"/>
      </w:pPr>
      <w:r>
        <w:t>Final doctrinal statement</w:t>
      </w:r>
    </w:p>
    <w:p>
      <w:r>
        <w:t>km_quran therefore has two concentric horizons. The inner horizon is the surah organism itself: passage, sentence, clause, phrase, motif, rhetoric, worldview, claim, evidence, and reception. The outer horizon is the contextual, historical, material, textual, and civilizational field in which that organism is studied: inter-scriptural relations, late antiquity, political environment, manuscript and inscription witness, text history, preservation discourse, and academic debate. The outer horizon serves the inner one; it does not replace it.</w:t>
      </w:r>
    </w:p>
    <w:sectPr w:rsidR="00FC693F" w:rsidRPr="0006063C" w:rsidSect="00034616">
      <w:headerReference w:type="default" r:id="rId9"/>
      <w:footerReference w:type="default" r:id="rId10"/>
      <w:pgSz w:w="11906" w:h="16838"/>
      <w:pgMar w:top="1247"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K-Maps / km_quran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7"/>
      </w:rPr>
      <w:t>KM-Quran Philosophy and Doctrine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Calibri"/>
      <w:b/>
      <w:bCs/>
      <w:color w:val="4472C4"/>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2222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5A5A5A"/>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