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left"/>
      </w:pPr>
      <w:r>
        <w:rPr>
          <w:rFonts w:ascii="Arial" w:hAnsi="Arial"/>
          <w:b/>
          <w:color w:val="1F4E79"/>
          <w:sz w:val="30"/>
        </w:rPr>
        <w:t>K-Maps</w:t>
      </w:r>
    </w:p>
    <w:p>
      <w:pPr>
        <w:spacing w:before="400"/>
        <w:jc w:val="left"/>
      </w:pPr>
      <w:r>
        <w:rPr>
          <w:rFonts w:ascii="Arial" w:hAnsi="Arial"/>
          <w:b/>
          <w:color w:val="22303C"/>
          <w:sz w:val="48"/>
        </w:rPr>
        <w:t>KM-Arabic Philosophy and Doctrine vNext</w:t>
      </w:r>
    </w:p>
    <w:p>
      <w:pPr>
        <w:spacing w:after="320"/>
        <w:jc w:val="left"/>
      </w:pPr>
      <w:r>
        <w:rPr>
          <w:rFonts w:ascii="Arial" w:hAnsi="Arial"/>
          <w:i/>
          <w:color w:val="0E7490"/>
          <w:sz w:val="25"/>
        </w:rPr>
        <w:t>Greenfield doctrine for a full Arabic language acquisition engine across Classical Arabic, MSA, literature, audio, and app-fed micro-learning</w:t>
      </w:r>
    </w:p>
    <w:tbl>
      <w:tblPr>
        <w:tblW w:type="auto" w:w="0"/>
        <w:jc w:val="center"/>
        <w:tblLayout w:type="autofit"/>
        <w:tblLook w:firstColumn="1" w:firstRow="1" w:lastColumn="0" w:lastRow="0" w:noHBand="0" w:noVBand="1" w:val="04A0"/>
      </w:tblPr>
      <w:tblGrid>
        <w:gridCol w:w="9792"/>
      </w:tblGrid>
      <w:tr>
        <w:tc>
          <w:tcPr>
            <w:tcW w:type="dxa" w:w="9792"/>
            <w:shd w:fill="EEF8F9"/>
            <w:tcMar>
              <w:top w:w="140" w:type="dxa"/>
              <w:start w:w="130" w:type="dxa"/>
              <w:bottom w:w="140" w:type="dxa"/>
              <w:end w:w="130" w:type="dxa"/>
            </w:tcMar>
          </w:tcPr>
          <w:p>
            <w:pPr>
              <w:jc w:val="left"/>
            </w:pPr>
            <w:r>
              <w:rPr>
                <w:rFonts w:ascii="Arial" w:hAnsi="Arial"/>
                <w:b/>
                <w:color w:val="22303C"/>
                <w:sz w:val="21"/>
              </w:rPr>
              <w:t>This doctrine treats km_arabic as the canonical language acquisition engine of K-Maps. The database should be designed for how Arabic is acquired over time, not merely for how lessons happen to be displayed today.</w:t>
            </w:r>
          </w:p>
        </w:tc>
      </w:tr>
    </w:tbl>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10" w:type="dxa"/>
              <w:bottom w:w="90" w:type="dxa"/>
              <w:end w:w="110" w:type="dxa"/>
            </w:tcMar>
            <w:shd w:fill="0E7490"/>
            <w:shd w:fill="1F4E79"/>
          </w:tcPr>
          <w:p>
            <w:pPr>
              <w:spacing w:after="40" w:before="20" w:line="264" w:lineRule="auto"/>
              <w:jc w:val="left"/>
            </w:pPr>
            <w:r>
              <w:rPr>
                <w:rFonts w:ascii="Arial" w:hAnsi="Arial"/>
                <w:b/>
                <w:color w:val="FFFFFF"/>
                <w:sz w:val="19"/>
              </w:rPr>
              <w:t>Document</w:t>
            </w:r>
          </w:p>
        </w:tc>
        <w:tc>
          <w:tcPr>
            <w:tcW w:type="dxa" w:w="7056"/>
            <w:vAlign w:val="center"/>
            <w:tcMar>
              <w:top w:w="90" w:type="dxa"/>
              <w:start w:w="110" w:type="dxa"/>
              <w:bottom w:w="90" w:type="dxa"/>
              <w:end w:w="110" w:type="dxa"/>
            </w:tcMar>
            <w:shd w:fill="0E7490"/>
            <w:shd w:fill="F8FBFD"/>
          </w:tcPr>
          <w:p>
            <w:pPr>
              <w:spacing w:after="40" w:before="20" w:line="264" w:lineRule="auto"/>
              <w:jc w:val="center"/>
            </w:pPr>
            <w:r>
              <w:rPr>
                <w:rFonts w:ascii="Arial" w:hAnsi="Arial"/>
                <w:b/>
                <w:color w:val="FFFFFF"/>
                <w:sz w:val="19"/>
              </w:rPr>
              <w:t>KM-Arabic Philosophy and Doctrine vNext</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Module</w:t>
            </w:r>
          </w:p>
        </w:tc>
        <w:tc>
          <w:tcPr>
            <w:tcW w:type="dxa" w:w="4896"/>
            <w:vAlign w:val="center"/>
            <w:tcMar>
              <w:top w:w="90" w:type="dxa"/>
              <w:start w:w="110" w:type="dxa"/>
              <w:bottom w:w="90" w:type="dxa"/>
              <w:end w:w="110" w:type="dxa"/>
            </w:tcMar>
          </w:tcPr>
          <w:p>
            <w:pPr>
              <w:spacing w:after="40" w:before="20" w:line="264" w:lineRule="auto"/>
            </w:pPr>
            <w:r>
              <w:rPr>
                <w:rFonts w:ascii="Arial" w:hAnsi="Arial"/>
                <w:sz w:val="19"/>
              </w:rPr>
              <w:t>km_arabic</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Focus</w:t>
            </w:r>
          </w:p>
        </w:tc>
        <w:tc>
          <w:tcPr>
            <w:tcW w:type="dxa" w:w="4896"/>
            <w:vAlign w:val="center"/>
            <w:tcMar>
              <w:top w:w="90" w:type="dxa"/>
              <w:start w:w="110" w:type="dxa"/>
              <w:bottom w:w="90" w:type="dxa"/>
              <w:end w:w="110" w:type="dxa"/>
            </w:tcMar>
            <w:shd w:fill="F8FBFD"/>
          </w:tcPr>
          <w:p>
            <w:pPr>
              <w:spacing w:after="40" w:before="20" w:line="264" w:lineRule="auto"/>
            </w:pPr>
            <w:r>
              <w:rPr>
                <w:rFonts w:ascii="Arial" w:hAnsi="Arial"/>
                <w:sz w:val="19"/>
              </w:rPr>
              <w:t>Long-term language acquisition doctrine, not current schema preservation</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Position</w:t>
            </w:r>
          </w:p>
        </w:tc>
        <w:tc>
          <w:tcPr>
            <w:tcW w:type="dxa" w:w="4896"/>
            <w:vAlign w:val="center"/>
            <w:tcMar>
              <w:top w:w="90" w:type="dxa"/>
              <w:start w:w="110" w:type="dxa"/>
              <w:bottom w:w="90" w:type="dxa"/>
              <w:end w:w="110" w:type="dxa"/>
            </w:tcMar>
          </w:tcPr>
          <w:p>
            <w:pPr>
              <w:spacing w:after="40" w:before="20" w:line="264" w:lineRule="auto"/>
            </w:pPr>
            <w:r>
              <w:rPr>
                <w:rFonts w:ascii="Arial" w:hAnsi="Arial"/>
                <w:sz w:val="19"/>
              </w:rPr>
              <w:t>Brand new target-state database for Arabic acquisition</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Material scope</w:t>
            </w:r>
          </w:p>
        </w:tc>
        <w:tc>
          <w:tcPr>
            <w:tcW w:type="dxa" w:w="4896"/>
            <w:vAlign w:val="center"/>
            <w:tcMar>
              <w:top w:w="90" w:type="dxa"/>
              <w:start w:w="110" w:type="dxa"/>
              <w:bottom w:w="90" w:type="dxa"/>
              <w:end w:w="110" w:type="dxa"/>
            </w:tcMar>
            <w:shd w:fill="F8FBFD"/>
          </w:tcPr>
          <w:p>
            <w:pPr>
              <w:spacing w:after="40" w:before="20" w:line="264" w:lineRule="auto"/>
            </w:pPr>
            <w:r>
              <w:rPr>
                <w:rFonts w:ascii="Arial" w:hAnsi="Arial"/>
                <w:sz w:val="19"/>
              </w:rPr>
              <w:t>Stories, dialogues, poetry, adab, drama scripts, songs, lectures, essays, and graded learning content</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Delivery scope</w:t>
            </w:r>
          </w:p>
        </w:tc>
        <w:tc>
          <w:tcPr>
            <w:tcW w:type="dxa" w:w="4896"/>
            <w:vAlign w:val="center"/>
            <w:tcMar>
              <w:top w:w="90" w:type="dxa"/>
              <w:start w:w="110" w:type="dxa"/>
              <w:bottom w:w="90" w:type="dxa"/>
              <w:end w:w="110" w:type="dxa"/>
            </w:tcMar>
          </w:tcPr>
          <w:p>
            <w:pPr>
              <w:spacing w:after="40" w:before="20" w:line="264" w:lineRule="auto"/>
            </w:pPr>
            <w:r>
              <w:rPr>
                <w:rFonts w:ascii="Arial" w:hAnsi="Arial"/>
                <w:sz w:val="19"/>
              </w:rPr>
              <w:t>Deep-study screens, cohort delivery, and Duolingo-style app feed</w:t>
            </w:r>
          </w:p>
        </w:tc>
      </w:tr>
    </w:tbl>
    <w:p/>
    <w:p>
      <w:pPr>
        <w:pStyle w:val="Heading2"/>
      </w:pPr>
      <w:r>
        <w:t>Reference basis</w:t>
      </w:r>
    </w:p>
    <w:p>
      <w:pPr/>
      <w:r>
        <w:rPr>
          <w:b/>
        </w:rPr>
        <w:t xml:space="preserve">This document is a greenfield vNext design. </w:t>
      </w:r>
      <w:r>
        <w:t>The uploaded current schema and earlier AR philosophy / architecture files are treated as diagnostic reference material only, not as a constraint on the final target model.</w:t>
      </w:r>
    </w:p>
    <w:p>
      <w:r>
        <w:br w:type="page"/>
      </w:r>
    </w:p>
    <w:p>
      <w:pPr>
        <w:pStyle w:val="Heading1"/>
      </w:pPr>
      <w:r>
        <w:t>Executive summary</w:t>
      </w:r>
    </w:p>
    <w:p>
      <w:r>
        <w:t>The final km_arabic database should be a complete Arabic acquisition engine. It should model childlike level growth, separate skills, multiple tracks, diverse material types, packetized pedagogy, spaced review, teacher delivery, and unified mastery.</w:t>
      </w:r>
    </w:p>
    <w:p>
      <w:r>
        <w:t>The module should be able to teach through stories, dialogues, poetry, adab, songs, drama scripts, lectures, and formal curriculum sciences while preserving one canonical learner state.</w:t>
      </w:r>
    </w:p>
    <w:p>
      <w:r>
        <w:t>The same canonical database must also feed a Duolingo-style mobile surface. The app is a delivery projection, not a second learning ontology.</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Reference stance: </w:t>
            </w:r>
            <w:r>
              <w:rPr>
                <w:rFonts w:ascii="Arial" w:hAnsi="Arial"/>
                <w:sz w:val="20"/>
              </w:rPr>
              <w:t>The current schema and the earlier AR philosophy and architecture documents were used as diagnostic reference, but this document defines a fresh target state for the next km_arabic database.</w:t>
            </w:r>
          </w:p>
        </w:tc>
      </w:tr>
    </w:tbl>
    <w:p/>
    <w:p>
      <w:pPr>
        <w:pStyle w:val="Heading1"/>
      </w:pPr>
      <w:r>
        <w:t>1. Final module position</w:t>
      </w:r>
    </w:p>
    <w:p>
      <w:pPr/>
      <w:r>
        <w:t>km_arabic is the canonical Arabic language acquisition engine of K-Maps. It is not a thin lesson store, a vocabulary deck store, or a generic document bucket. Its job is to model how a learner actually acquires Arabic over time and to translate that model into reusable pedagogy, review, level progression, and delivery surfaces.</w:t>
      </w:r>
    </w:p>
    <w:p>
      <w:pPr/>
      <w:r>
        <w:t>The new database should be designed as a greenfield target state. The current schema is useful as evidence of what already exists, but it must not dictate the long-term ontology. The final model should privilege pedagogic truth, learner state, material segmentation, and progression logic over historical compatibility.</w:t>
      </w:r>
    </w:p>
    <w:p>
      <w:pPr/>
      <w:r>
        <w:t>This doctrine assumes one km_arabic database that serves both deep-study interfaces and a Duolingo-style companion app. The same canonical acquisition engine should support solo learning, teacher-led cohorts, workspace-based delivery, and mobile micro-learning without duplicating the underlying learning ontology.</w:t>
      </w:r>
    </w:p>
    <w:p>
      <w:pPr>
        <w:ind w:left="259" w:hanging="259"/>
      </w:pPr>
      <w:r>
        <w:rPr>
          <w:b/>
        </w:rPr>
        <w:t xml:space="preserve">• </w:t>
      </w:r>
      <w:r>
        <w:rPr>
          <w:b/>
        </w:rPr>
        <w:t>Primary responsibility</w:t>
      </w:r>
      <w:r>
        <w:t xml:space="preserve"> - store acquisition-native truth: tracks, levels, skills, materials, packets, challenges, reviews, class delivery, and mastery.</w:t>
      </w:r>
    </w:p>
    <w:p>
      <w:pPr>
        <w:ind w:left="259" w:hanging="259"/>
      </w:pPr>
      <w:r>
        <w:rPr>
          <w:b/>
        </w:rPr>
        <w:t xml:space="preserve">• </w:t>
      </w:r>
      <w:r>
        <w:rPr>
          <w:b/>
        </w:rPr>
        <w:t>Secondary responsibility</w:t>
      </w:r>
      <w:r>
        <w:t xml:space="preserve"> - store pedagogic decompositions of material: excerpts, scenes, lines, cues, prompts, challenge-ready segments, and difficulty grading.</w:t>
      </w:r>
    </w:p>
    <w:p>
      <w:pPr>
        <w:ind w:left="259" w:hanging="259"/>
      </w:pPr>
      <w:r>
        <w:rPr>
          <w:b/>
        </w:rPr>
        <w:t xml:space="preserve">• </w:t>
      </w:r>
      <w:r>
        <w:rPr>
          <w:b/>
        </w:rPr>
        <w:t>Explicit non-goal</w:t>
      </w:r>
      <w:r>
        <w:t xml:space="preserve"> - do not turn km_arabic into the owner of universal linguistic truth that properly belongs in km_arabic_linguistics.</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Position statement: </w:t>
            </w:r>
            <w:r>
              <w:rPr>
                <w:rFonts w:ascii="Arial" w:hAnsi="Arial"/>
                <w:sz w:val="20"/>
              </w:rPr>
              <w:t>The database should be engineered around language acquisition first and content packaging second. Content exists to move a learner from early exposure to independent comprehension, not merely to populate screens.</w:t>
            </w:r>
          </w:p>
        </w:tc>
      </w:tr>
    </w:tbl>
    <w:p/>
    <w:p>
      <w:pPr>
        <w:pStyle w:val="Heading1"/>
      </w:pPr>
      <w:r>
        <w:t>2. Why the new database must go beyond the current lesson model</w:t>
      </w:r>
    </w:p>
    <w:p>
      <w:pPr/>
      <w:r>
        <w:t>A lesson-centric schema cannot represent the full reality of acquiring Arabic. A learner is not simply progressing through ordered lessons. The learner is building listening tolerance, story comprehension, register awareness, phrase memory, morphological intuition, reading stamina, expressive range, and skill transfer across Classical Arabic and MSA.</w:t>
      </w:r>
    </w:p>
    <w:p>
      <w:pPr/>
      <w:r>
        <w:t>A durable Arabic acquisition system therefore needs to model multiple simultaneous dimensions: track, level, skill, material type, domain, scenario, review state, remediation need, and current pedagogic surface. A single lesson row with attached progress is too flat for that job.</w:t>
      </w:r>
    </w:p>
    <w:p>
      <w:pPr/>
      <w:r>
        <w:t>The current reference schema already contains useful seeds such as domain phrases, grammar units, lesson progress, notes, occurrences, reviews, and SRS. But it also mixes in Quran corpus tables, universal lexicon tables, planning surfaces, capture surfaces, and UI-specific rows, which indicates that the present design is transitional rather than final.</w:t>
      </w:r>
    </w:p>
    <w:p>
      <w:pPr>
        <w:ind w:left="259" w:hanging="259"/>
      </w:pPr>
      <w:r>
        <w:rPr>
          <w:b/>
        </w:rPr>
        <w:t xml:space="preserve">• </w:t>
      </w:r>
      <w:r>
        <w:rPr>
          <w:b/>
        </w:rPr>
        <w:t>The key correction</w:t>
      </w:r>
      <w:r>
        <w:t xml:space="preserve"> - replace a lesson-first ontology with a packet-and-progression ontology.</w:t>
      </w:r>
    </w:p>
    <w:p>
      <w:pPr>
        <w:ind w:left="259" w:hanging="259"/>
      </w:pPr>
      <w:r>
        <w:rPr>
          <w:b/>
        </w:rPr>
        <w:t xml:space="preserve">• </w:t>
      </w:r>
      <w:r>
        <w:rPr>
          <w:b/>
        </w:rPr>
        <w:t>What a packet means</w:t>
      </w:r>
      <w:r>
        <w:t xml:space="preserve"> - the smallest pedagogically meaningful learning bundle that can be delivered in deep study or micro-learning.</w:t>
      </w:r>
    </w:p>
    <w:p>
      <w:pPr>
        <w:ind w:left="259" w:hanging="259"/>
      </w:pPr>
      <w:r>
        <w:rPr>
          <w:b/>
        </w:rPr>
        <w:t xml:space="preserve">• </w:t>
      </w:r>
      <w:r>
        <w:rPr>
          <w:b/>
        </w:rPr>
        <w:t>What progression means</w:t>
      </w:r>
      <w:r>
        <w:t xml:space="preserve"> - the learner’s movement across levels, skills, tracks, and materials, not only completion of fixed lesson pages.</w:t>
      </w:r>
    </w:p>
    <w:p>
      <w:pPr>
        <w:pStyle w:val="Heading1"/>
      </w:pPr>
      <w:r>
        <w:t>3. Non-negotiable doctrine principles</w:t>
      </w:r>
    </w:p>
    <w:p>
      <w:pPr/>
      <w:r>
        <w:t>The design should be kept deliberately strict at the philosophical level so that later schema choices do not drift back toward a flat content store or a feature-by-feature pileup.</w:t>
      </w:r>
    </w:p>
    <w:p>
      <w:pPr>
        <w:ind w:left="259" w:hanging="259"/>
      </w:pPr>
      <w:r>
        <w:rPr>
          <w:b/>
        </w:rPr>
        <w:t xml:space="preserve">• </w:t>
      </w:r>
      <w:r>
        <w:t>Acquisition before packaging: lessons, decks, and app steps are delivery shapes, not the canonical truth.</w:t>
      </w:r>
    </w:p>
    <w:p>
      <w:pPr>
        <w:ind w:left="259" w:hanging="259"/>
      </w:pPr>
      <w:r>
        <w:rPr>
          <w:b/>
        </w:rPr>
        <w:t xml:space="preserve">• </w:t>
      </w:r>
      <w:r>
        <w:t>Level-based growth: the system must support childlike early acquisition, slow ramps, and later expansion into advanced reading and analysis.</w:t>
      </w:r>
    </w:p>
    <w:p>
      <w:pPr>
        <w:ind w:left="259" w:hanging="259"/>
      </w:pPr>
      <w:r>
        <w:rPr>
          <w:b/>
        </w:rPr>
        <w:t xml:space="preserve">• </w:t>
      </w:r>
      <w:r>
        <w:t>Track-aware design: Classical Arabic, MSA, and blended pathways must coexist without being flattened into one global stream.</w:t>
      </w:r>
    </w:p>
    <w:p>
      <w:pPr>
        <w:ind w:left="259" w:hanging="259"/>
      </w:pPr>
      <w:r>
        <w:rPr>
          <w:b/>
        </w:rPr>
        <w:t xml:space="preserve">• </w:t>
      </w:r>
      <w:r>
        <w:t>Skill separation: listening, speaking, reading, writing, vocabulary, grammar, comprehension, and rhetoric appreciation need separate state and telemetry.</w:t>
      </w:r>
    </w:p>
    <w:p>
      <w:pPr>
        <w:ind w:left="259" w:hanging="259"/>
      </w:pPr>
      <w:r>
        <w:rPr>
          <w:b/>
        </w:rPr>
        <w:t xml:space="preserve">• </w:t>
      </w:r>
      <w:r>
        <w:t>Material diversity is first-class: stories, dialogues, poetry, adab, songs, drama scripts, speeches, lectures, essays, and graded readers all belong in the same engine.</w:t>
      </w:r>
    </w:p>
    <w:p>
      <w:pPr>
        <w:ind w:left="259" w:hanging="259"/>
      </w:pPr>
      <w:r>
        <w:rPr>
          <w:b/>
        </w:rPr>
        <w:t xml:space="preserve">• </w:t>
      </w:r>
      <w:r>
        <w:t>Audio-first is native: listening, repetition, dictation, shadowing, cue points, and playback variants are canonical learning surfaces.</w:t>
      </w:r>
    </w:p>
    <w:p>
      <w:pPr>
        <w:ind w:left="259" w:hanging="259"/>
      </w:pPr>
      <w:r>
        <w:rPr>
          <w:b/>
        </w:rPr>
        <w:t xml:space="preserve">• </w:t>
      </w:r>
      <w:r>
        <w:t>Curriculum science matters: sarf, nahw, balagha, orthography, and pronunciation need a formal curriculum spine rather than ad hoc lesson tags.</w:t>
      </w:r>
    </w:p>
    <w:p>
      <w:pPr>
        <w:ind w:left="259" w:hanging="259"/>
      </w:pPr>
      <w:r>
        <w:rPr>
          <w:b/>
        </w:rPr>
        <w:t xml:space="preserve">• </w:t>
      </w:r>
      <w:r>
        <w:t>Scenario learning matters: language should be learned in settings, situations, and social roles, not only in abstract topical buckets.</w:t>
      </w:r>
    </w:p>
    <w:p>
      <w:pPr>
        <w:ind w:left="259" w:hanging="259"/>
      </w:pPr>
      <w:r>
        <w:rPr>
          <w:b/>
        </w:rPr>
        <w:t xml:space="preserve">• </w:t>
      </w:r>
      <w:r>
        <w:t>Remediation is designed in: weak spots should trigger follow-up packets, not merely lower scores.</w:t>
      </w:r>
    </w:p>
    <w:p>
      <w:pPr>
        <w:ind w:left="259" w:hanging="259"/>
      </w:pPr>
      <w:r>
        <w:rPr>
          <w:b/>
        </w:rPr>
        <w:t xml:space="preserve">• </w:t>
      </w:r>
      <w:r>
        <w:t>App feed without ontology split: the Duolingo-style app must be a projection of canonical km_arabic truth, not a second learning system.</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Design rule: </w:t>
            </w:r>
            <w:r>
              <w:rPr>
                <w:rFonts w:ascii="Arial" w:hAnsi="Arial"/>
                <w:sz w:val="20"/>
              </w:rPr>
              <w:t>Whenever a new table family is proposed, the first question should be: does this represent stable acquisition truth, or is it only a projection, cache, or UI convenience? Only stable acquisition truth should sit at the center of km_arabic.</w:t>
            </w:r>
          </w:p>
        </w:tc>
      </w:tr>
    </w:tbl>
    <w:p/>
    <w:p>
      <w:pPr>
        <w:pStyle w:val="Heading1"/>
      </w:pPr>
      <w:r>
        <w:t>4. Level-based acquisition model</w:t>
      </w:r>
    </w:p>
    <w:p>
      <w:pPr/>
      <w:r>
        <w:t>The database should model Arabic acquisition as a staged expansion similar to child language growth: first sound and routine, then phrase and pattern, then story and inference, then grammar awareness, then register control, then independence. This does not mean the user interface must look childlike. It means the ontology must respect how competence accumulates.</w:t>
      </w:r>
    </w:p>
    <w:p>
      <w:pPr/>
      <w:r>
        <w:t>Levels should not be treated as cosmetic labels attached to lessons. They should act as gating, recommendation, packetization, and analytics dimensions. A material item may be globally advanced yet still have beginner-safe segments. Conversely, a nominally beginner story may expose a specific advanced pattern worth later reuse.</w:t>
      </w:r>
    </w:p>
    <w:p>
      <w:pPr>
        <w:ind w:left="259" w:hanging="259"/>
      </w:pPr>
      <w:r>
        <w:rPr>
          <w:b/>
        </w:rPr>
        <w:t xml:space="preserve">• </w:t>
      </w:r>
      <w:r>
        <w:rPr>
          <w:b/>
        </w:rPr>
        <w:t>Design implication</w:t>
      </w:r>
      <w:r>
        <w:t xml:space="preserve"> - level lives at multiple scopes: learner profile, packet, material segment, challenge template, and recommendation rule.</w:t>
      </w:r>
    </w:p>
    <w:p>
      <w:pPr>
        <w:ind w:left="259" w:hanging="259"/>
      </w:pPr>
      <w:r>
        <w:rPr>
          <w:b/>
        </w:rPr>
        <w:t xml:space="preserve">• </w:t>
      </w:r>
      <w:r>
        <w:rPr>
          <w:b/>
        </w:rPr>
        <w:t>Do not force equality</w:t>
      </w:r>
      <w:r>
        <w:t xml:space="preserve"> - different skills can sit at different levels for the same learner.</w:t>
      </w:r>
    </w:p>
    <w:p>
      <w:pPr>
        <w:ind w:left="259" w:hanging="259"/>
      </w:pPr>
      <w:r>
        <w:rPr>
          <w:b/>
        </w:rPr>
        <w:t xml:space="preserve">• </w:t>
      </w:r>
      <w:r>
        <w:rPr>
          <w:b/>
        </w:rPr>
        <w:t>Use levels for expansion</w:t>
      </w:r>
      <w:r>
        <w:t xml:space="preserve"> - later stages should widen material tolerance rather than merely increase grammar density.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088"/>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Level</w:t>
            </w:r>
          </w:p>
        </w:tc>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Primary acquisition focus</w:t>
            </w:r>
          </w:p>
        </w:tc>
        <w:tc>
          <w:tcPr>
            <w:tcW w:type="dxa" w:w="324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Typical material forms</w:t>
            </w:r>
          </w:p>
        </w:tc>
        <w:tc>
          <w:tcPr>
            <w:tcW w:type="dxa" w:w="237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Preferred delivery behavior</w:t>
            </w:r>
          </w:p>
        </w:tc>
      </w:tr>
      <w:tr>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L0 Seed / Pre-literacy</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sound recognition, imitation, delight, short routines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chants, picture-linked words, tiny dialogues, repeated audio, call-and-response</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listen, tap, match, repeat</w:t>
            </w:r>
          </w:p>
        </w:tc>
      </w:tr>
      <w:tr>
        <w:tc>
          <w:tcPr>
            <w:tcW w:type="dxa" w:w="2448"/>
            <w:vAlign w:val="center"/>
            <w:tcMar>
              <w:top w:w="90" w:type="dxa"/>
              <w:start w:w="110" w:type="dxa"/>
              <w:bottom w:w="90" w:type="dxa"/>
              <w:end w:w="110" w:type="dxa"/>
            </w:tcMar>
          </w:tcPr>
          <w:p>
            <w:pPr>
              <w:spacing w:after="40" w:before="20" w:line="264" w:lineRule="auto"/>
            </w:pPr>
            <w:r>
              <w:rPr>
                <w:rFonts w:ascii="Arial" w:hAnsi="Arial"/>
                <w:sz w:val="18"/>
              </w:rPr>
              <w:t>L1 Early Beginner</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survival phrases, family words, high-frequency verbs</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micro-stories, daily scenes, children’s songs, scripted greetings</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very short runs, heavy audio, visual support</w:t>
            </w:r>
          </w:p>
        </w:tc>
      </w:tr>
      <w:tr>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L2 Guided Beginner</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simple sentence patterns and small story comprehension</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graded dialogues, mini narratives, beginner readers, roleplay cards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audio plus text, scaffolded recall</w:t>
            </w:r>
          </w:p>
        </w:tc>
      </w:tr>
      <w:tr>
        <w:tc>
          <w:tcPr>
            <w:tcW w:type="dxa" w:w="2448"/>
            <w:vAlign w:val="center"/>
            <w:tcMar>
              <w:top w:w="90" w:type="dxa"/>
              <w:start w:w="110" w:type="dxa"/>
              <w:bottom w:w="90" w:type="dxa"/>
              <w:end w:w="110" w:type="dxa"/>
            </w:tcMar>
          </w:tcPr>
          <w:p>
            <w:pPr>
              <w:spacing w:after="40" w:before="20" w:line="264" w:lineRule="auto"/>
            </w:pPr>
            <w:r>
              <w:rPr>
                <w:rFonts w:ascii="Arial" w:hAnsi="Arial"/>
                <w:sz w:val="18"/>
              </w:rPr>
              <w:t>L3 Foundation</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core grammar awareness and reading confidence</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graded stories, scenario packs, short poems, simple lectures</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short comprehension, sentence building</w:t>
            </w:r>
          </w:p>
        </w:tc>
      </w:tr>
      <w:tr>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L4 Expanding</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register growth and wider material tolerance</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adab excerpts, news-light MSA, classroom scripts, story sequences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more inference, less gloss</w:t>
            </w:r>
          </w:p>
        </w:tc>
      </w:tr>
      <w:tr>
        <w:tc>
          <w:tcPr>
            <w:tcW w:type="dxa" w:w="2448"/>
            <w:vAlign w:val="center"/>
            <w:tcMar>
              <w:top w:w="90" w:type="dxa"/>
              <w:start w:w="110" w:type="dxa"/>
              <w:bottom w:w="90" w:type="dxa"/>
              <w:end w:w="110" w:type="dxa"/>
            </w:tcMar>
          </w:tcPr>
          <w:p>
            <w:pPr>
              <w:spacing w:after="40" w:before="20" w:line="264" w:lineRule="auto"/>
            </w:pPr>
            <w:r>
              <w:rPr>
                <w:rFonts w:ascii="Arial" w:hAnsi="Arial"/>
                <w:sz w:val="18"/>
              </w:rPr>
              <w:t>L5 Bridge</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controlled transfer between MSA and Classical Arabic</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parallel passages, commentary-supported texts, script comparisons</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cross-track notes and divergence awareness</w:t>
            </w:r>
          </w:p>
        </w:tc>
      </w:tr>
      <w:tr>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L6 Independent Reader / Listener</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sustained reading and listening with limited support</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longer stories, essays, lectures, drama scenes, song lyrics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independent packets and targeted remediation</w:t>
            </w:r>
          </w:p>
        </w:tc>
      </w:tr>
      <w:tr>
        <w:tc>
          <w:tcPr>
            <w:tcW w:type="dxa" w:w="2448"/>
            <w:vAlign w:val="center"/>
            <w:tcMar>
              <w:top w:w="90" w:type="dxa"/>
              <w:start w:w="110" w:type="dxa"/>
              <w:bottom w:w="90" w:type="dxa"/>
              <w:end w:w="110" w:type="dxa"/>
            </w:tcMar>
          </w:tcPr>
          <w:p>
            <w:pPr>
              <w:spacing w:after="40" w:before="20" w:line="264" w:lineRule="auto"/>
            </w:pPr>
            <w:r>
              <w:rPr>
                <w:rFonts w:ascii="Arial" w:hAnsi="Arial"/>
                <w:sz w:val="18"/>
              </w:rPr>
              <w:t>L7 Advanced Classical / Analytical</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classical texts, rhetoric, commentary, nuanced expression</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poetry, adab, tafsir-linked prose, advanced grammar packets</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deep analysis plus review loops</w:t>
            </w:r>
          </w:p>
        </w:tc>
      </w:tr>
    </w:tbl>
    <w:p/>
    <w:p>
      <w:pPr>
        <w:pStyle w:val="Heading1"/>
      </w:pPr>
      <w:r>
        <w:t>5. Track model: Classical, MSA, and blended acquisition</w:t>
      </w:r>
    </w:p>
    <w:p>
      <w:pPr/>
      <w:r>
        <w:t>A serious Arabic engine cannot collapse MSA and Classical Arabic into one undifferentiated path. The overlap is real, but so are the differences in register, syntax distribution, vocabulary frequency, and pedagogic pacing. The correct solution is not duplication of everything. The correct solution is track-aware packaging built on shared underlying material and skill infrastructure.</w:t>
      </w:r>
    </w:p>
    <w:p>
      <w:pPr>
        <w:ind w:left="259" w:hanging="259"/>
      </w:pPr>
      <w:r>
        <w:rPr>
          <w:b/>
        </w:rPr>
        <w:t xml:space="preserve">• </w:t>
      </w:r>
      <w:r>
        <w:rPr>
          <w:b/>
        </w:rPr>
        <w:t>Track is structural</w:t>
      </w:r>
      <w:r>
        <w:t xml:space="preserve"> - tracks affect packet eligibility, level interpretation, recommendation logic, and mastery thresholds.</w:t>
      </w:r>
    </w:p>
    <w:p>
      <w:pPr>
        <w:ind w:left="259" w:hanging="259"/>
      </w:pPr>
      <w:r>
        <w:rPr>
          <w:b/>
        </w:rPr>
        <w:t xml:space="preserve">• </w:t>
      </w:r>
      <w:r>
        <w:rPr>
          <w:b/>
        </w:rPr>
        <w:t>Track is not the same as material type</w:t>
      </w:r>
      <w:r>
        <w:t xml:space="preserve"> - a story, poem, or lecture can belong to one track, more than one track, or a blended bridge pathway.</w:t>
      </w:r>
    </w:p>
    <w:p>
      <w:pPr>
        <w:ind w:left="259" w:hanging="259"/>
      </w:pPr>
      <w:r>
        <w:rPr>
          <w:b/>
        </w:rPr>
        <w:t xml:space="preserve">• </w:t>
      </w:r>
      <w:r>
        <w:rPr>
          <w:b/>
        </w:rPr>
        <w:t>Bridge content is first-class</w:t>
      </w:r>
      <w:r>
        <w:t xml:space="preserve"> - the engine should deliberately teach transfer between MSA and Classical Arabic instead of leaving learners to discover it by accident.</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728"/>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Track</w:t>
            </w:r>
          </w:p>
        </w:tc>
        <w:tc>
          <w:tcPr>
            <w:tcW w:type="dxa" w:w="2592"/>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528"/>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Typical material emphasis</w:t>
            </w:r>
          </w:p>
        </w:tc>
        <w:tc>
          <w:tcPr>
            <w:tcW w:type="dxa" w:w="237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Design consequence</w:t>
            </w:r>
          </w:p>
        </w:tc>
      </w:tr>
      <w:tr>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MSA track</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modern reading, listening, speaking, everyday and institutional registers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dialogues, workplace scenes, media clips, graded readers, short articles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faster audio control, scenario vocabulary, conversation practice</w:t>
            </w:r>
          </w:p>
        </w:tc>
      </w:tr>
      <w:tr>
        <w:tc>
          <w:tcPr>
            <w:tcW w:type="dxa" w:w="2448"/>
            <w:vAlign w:val="center"/>
            <w:tcMar>
              <w:top w:w="90" w:type="dxa"/>
              <w:start w:w="110" w:type="dxa"/>
              <w:bottom w:w="90" w:type="dxa"/>
              <w:end w:w="110" w:type="dxa"/>
            </w:tcMar>
          </w:tcPr>
          <w:p>
            <w:pPr>
              <w:spacing w:after="40" w:before="20" w:line="264" w:lineRule="auto"/>
            </w:pPr>
            <w:r>
              <w:rPr>
                <w:rFonts w:ascii="Arial" w:hAnsi="Arial"/>
                <w:sz w:val="18"/>
              </w:rPr>
              <w:t>Classical track</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Qur'anic-adjacent literacy, classical prose, poetry, scholarly register</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classical stories, adab, poetry, commentary-linked excerpts, rhetorical study</w:t>
            </w:r>
          </w:p>
        </w:tc>
        <w:tc>
          <w:tcPr>
            <w:tcW w:type="dxa" w:w="2448"/>
            <w:vAlign w:val="center"/>
            <w:tcMar>
              <w:top w:w="90" w:type="dxa"/>
              <w:start w:w="110" w:type="dxa"/>
              <w:bottom w:w="90" w:type="dxa"/>
              <w:end w:w="110" w:type="dxa"/>
            </w:tcMar>
          </w:tcPr>
          <w:p>
            <w:pPr>
              <w:spacing w:after="40" w:before="20" w:line="264" w:lineRule="auto"/>
            </w:pPr>
            <w:r>
              <w:rPr>
                <w:rFonts w:ascii="Arial" w:hAnsi="Arial"/>
                <w:sz w:val="18"/>
              </w:rPr>
              <w:t>slower reading build, morphology sensitivity, glossed support</w:t>
            </w:r>
          </w:p>
        </w:tc>
      </w:tr>
      <w:tr>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Blended track</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coordinated movement between MSA and Classical Arabic</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paired materials, transfer packets, register contrast notes, bridge exercises</w:t>
            </w:r>
          </w:p>
        </w:tc>
        <w:tc>
          <w:tcPr>
            <w:tcW w:type="dxa" w:w="2448"/>
            <w:vAlign w:val="center"/>
            <w:tcMar>
              <w:top w:w="90" w:type="dxa"/>
              <w:start w:w="110" w:type="dxa"/>
              <w:bottom w:w="90" w:type="dxa"/>
              <w:end w:w="110" w:type="dxa"/>
            </w:tcMar>
            <w:shd w:fill="FBFCFD"/>
          </w:tcPr>
          <w:p>
            <w:pPr>
              <w:spacing w:after="40" w:before="20" w:line="264" w:lineRule="auto"/>
            </w:pPr>
            <w:r>
              <w:rPr>
                <w:rFonts w:ascii="Arial" w:hAnsi="Arial"/>
                <w:sz w:val="18"/>
              </w:rPr>
              <w:t>explicit divergence markers and separate thresholds per skill</w:t>
            </w:r>
          </w:p>
        </w:tc>
      </w:tr>
    </w:tbl>
    <w:p/>
    <w:p>
      <w:pPr>
        <w:pStyle w:val="Heading1"/>
      </w:pPr>
      <w:r>
        <w:t>6. Skill lattice and mastery philosophy</w:t>
      </w:r>
    </w:p>
    <w:p>
      <w:pPr/>
      <w:r>
        <w:t>The database should model a skill lattice rather than a single score. Mastery must be explainable. The system should be able to say whether a learner is weak in fast listening, weak in roleplay production, weak in story inference, or weak in classical morphology - not merely that the learner is 'intermediate'.</w:t>
      </w:r>
    </w:p>
    <w:p>
      <w:pPr/>
      <w:r>
        <w:t>Skill observations should come from exposure and performance together. The engine must value repeated successful contact with material, not only explicit quiz outcomes.</w:t>
      </w:r>
    </w:p>
    <w:p>
      <w:pPr>
        <w:ind w:left="259" w:hanging="259"/>
      </w:pPr>
      <w:r>
        <w:rPr>
          <w:b/>
        </w:rPr>
        <w:t xml:space="preserve">• </w:t>
      </w:r>
      <w:r>
        <w:rPr>
          <w:b/>
        </w:rPr>
        <w:t>Do not flatten mastery</w:t>
      </w:r>
      <w:r>
        <w:t xml:space="preserve"> - strong reading does not imply strong listening, and strong MSA speaking does not imply strong classical reading.</w:t>
      </w:r>
    </w:p>
    <w:p>
      <w:pPr>
        <w:ind w:left="259" w:hanging="259"/>
      </w:pPr>
      <w:r>
        <w:rPr>
          <w:b/>
        </w:rPr>
        <w:t xml:space="preserve">• </w:t>
      </w:r>
      <w:r>
        <w:rPr>
          <w:b/>
        </w:rPr>
        <w:t>Evidence should be granular</w:t>
      </w:r>
      <w:r>
        <w:t xml:space="preserve"> - mastery should aggregate from attempts, exposure logs, review history, packet completions, and teacher feedback.</w:t>
      </w:r>
    </w:p>
    <w:p>
      <w:pPr>
        <w:ind w:left="259" w:hanging="259"/>
      </w:pPr>
      <w:r>
        <w:rPr>
          <w:b/>
        </w:rPr>
        <w:t xml:space="preserve">• </w:t>
      </w:r>
      <w:r>
        <w:rPr>
          <w:b/>
        </w:rPr>
        <w:t>Weak spots must be actionable</w:t>
      </w:r>
      <w:r>
        <w:t xml:space="preserve"> - every weak spot should map to at least one remediation route or next-best packet.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72"/>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Skill</w:t>
            </w:r>
          </w:p>
        </w:tc>
        <w:tc>
          <w:tcPr>
            <w:tcW w:type="dxa" w:w="3888"/>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What the skill means</w:t>
            </w:r>
          </w:p>
        </w:tc>
        <w:tc>
          <w:tcPr>
            <w:tcW w:type="dxa" w:w="453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What mastery evidence should look like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Listening</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decode speech, follow rhythm, tolerate speed, recognize repeated phrases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audio tolerance, cue-based recall, dictation confidence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Speaking / Shadowing</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repeat, pronounce, imitate, respond, roleplay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shadow accuracy, guided response, dialogue production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Reading</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decode script, chunk phrases, sustain passage reading</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speed, stamina, comprehension without over-scaffolding</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Writing / Orthography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spell, type, form letters, produce short answers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script control, dictation transfer, composition readiness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Vocabulary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recognize and retrieve words and phrases in context</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contextual recall, phrase reuse, domain coverage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Grammar</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notice patterns, interpret structure, produce with control</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pattern recognition, transformation accuracy, explanation ability</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Comprehension</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grasp meaning, implication, and speaker intention</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short answer, summary, sequence, inference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Rhetoric / Style</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feel tone, register, imagery, and stylistic force</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poetry response, balagha awareness, stylistic comparison</w:t>
            </w:r>
          </w:p>
        </w:tc>
      </w:tr>
    </w:tbl>
    <w:p/>
    <w:p>
      <w:pPr>
        <w:pStyle w:val="Heading1"/>
      </w:pPr>
      <w:r>
        <w:t>7. Material universe: what km_arabic must be able to teach from</w:t>
      </w:r>
    </w:p>
    <w:p>
      <w:pPr/>
      <w:r>
        <w:t>The new km_arabic database should contain the full universe of acquisition-relevant Arabic material, not just vocabulary cards and grammar notes. The engine must be capable of storing, classifying, segmenting, and teaching from literary and non-literary material across both Classical Arabic and MSA.</w:t>
      </w:r>
    </w:p>
    <w:p>
      <w:pPr/>
      <w:r>
        <w:t>The correct modeling approach is to distinguish between a material object and its pedagogic surfaces. One poem can produce many packets. One story can be segmented into lines, cues, comprehension steps, vocabulary extractions, app prompts, shadowing runs, and level-specific excerpts.</w:t>
      </w:r>
    </w:p>
    <w:p>
      <w:pPr>
        <w:ind w:left="259" w:hanging="259"/>
      </w:pPr>
      <w:r>
        <w:rPr>
          <w:b/>
        </w:rPr>
        <w:t xml:space="preserve">• </w:t>
      </w:r>
      <w:r>
        <w:t>dialogues and scenario scenes</w:t>
      </w:r>
    </w:p>
    <w:p>
      <w:pPr>
        <w:ind w:left="259" w:hanging="259"/>
      </w:pPr>
      <w:r>
        <w:rPr>
          <w:b/>
        </w:rPr>
        <w:t xml:space="preserve">• </w:t>
      </w:r>
      <w:r>
        <w:t>stories and narrative sequences</w:t>
      </w:r>
    </w:p>
    <w:p>
      <w:pPr>
        <w:ind w:left="259" w:hanging="259"/>
      </w:pPr>
      <w:r>
        <w:rPr>
          <w:b/>
        </w:rPr>
        <w:t xml:space="preserve">• </w:t>
      </w:r>
      <w:r>
        <w:t>graded readers and short prose</w:t>
      </w:r>
    </w:p>
    <w:p>
      <w:pPr>
        <w:ind w:left="259" w:hanging="259"/>
      </w:pPr>
      <w:r>
        <w:rPr>
          <w:b/>
        </w:rPr>
        <w:t xml:space="preserve">• </w:t>
      </w:r>
      <w:r>
        <w:t>adab excerpts and full literary works</w:t>
      </w:r>
    </w:p>
    <w:p>
      <w:pPr>
        <w:ind w:left="259" w:hanging="259"/>
      </w:pPr>
      <w:r>
        <w:rPr>
          <w:b/>
        </w:rPr>
        <w:t xml:space="preserve">• </w:t>
      </w:r>
      <w:r>
        <w:t>poetry, verse clusters, and memorization-friendly passages</w:t>
      </w:r>
    </w:p>
    <w:p>
      <w:pPr>
        <w:ind w:left="259" w:hanging="259"/>
      </w:pPr>
      <w:r>
        <w:rPr>
          <w:b/>
        </w:rPr>
        <w:t xml:space="preserve">• </w:t>
      </w:r>
      <w:r>
        <w:t>drama scripts, scene scripts, roleplay texts, and subtitles</w:t>
      </w:r>
    </w:p>
    <w:p>
      <w:pPr>
        <w:ind w:left="259" w:hanging="259"/>
      </w:pPr>
      <w:r>
        <w:rPr>
          <w:b/>
        </w:rPr>
        <w:t xml:space="preserve">• </w:t>
      </w:r>
      <w:r>
        <w:t>songs, chants, nasheed-like repetition material, and rhythm-driven language</w:t>
      </w:r>
    </w:p>
    <w:p>
      <w:pPr>
        <w:ind w:left="259" w:hanging="259"/>
      </w:pPr>
      <w:r>
        <w:rPr>
          <w:b/>
        </w:rPr>
        <w:t xml:space="preserve">• </w:t>
      </w:r>
      <w:r>
        <w:t>lectures, talks, khutbah excerpts, and listening passages</w:t>
      </w:r>
    </w:p>
    <w:p>
      <w:pPr>
        <w:ind w:left="259" w:hanging="259"/>
      </w:pPr>
      <w:r>
        <w:rPr>
          <w:b/>
        </w:rPr>
        <w:t xml:space="preserve">• </w:t>
      </w:r>
      <w:r>
        <w:t>essays, letters, announcements, notices, and everyday documents</w:t>
      </w:r>
    </w:p>
    <w:p>
      <w:pPr>
        <w:ind w:left="259" w:hanging="259"/>
      </w:pPr>
      <w:r>
        <w:rPr>
          <w:b/>
        </w:rPr>
        <w:t xml:space="preserve">• </w:t>
      </w:r>
      <w:r>
        <w:t>child-oriented material for soft entry into the language</w:t>
      </w:r>
    </w:p>
    <w:p>
      <w:pPr>
        <w:ind w:left="259" w:hanging="259"/>
      </w:pPr>
      <w:r>
        <w:rPr>
          <w:b/>
        </w:rPr>
        <w:t xml:space="preserve">• </w:t>
      </w:r>
      <w:r>
        <w:t>bridge texts that align MSA and Classical Arabic for comparison</w:t>
      </w:r>
    </w:p>
    <w:p>
      <w:pPr>
        <w:ind w:left="259" w:hanging="259"/>
      </w:pPr>
      <w:r>
        <w:rPr>
          <w:b/>
        </w:rPr>
        <w:t xml:space="preserve">• </w:t>
      </w:r>
      <w:r>
        <w:t>teacher-authored packets and curated anthologies</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Long-term rule: </w:t>
            </w:r>
            <w:r>
              <w:rPr>
                <w:rFonts w:ascii="Arial" w:hAnsi="Arial"/>
                <w:sz w:val="20"/>
              </w:rPr>
              <w:t>Material ownership should be acquisition-facing. Raw binary files may still live in R2 or a media layer, but the pedagogically meaningful material catalog, segmentation, grading, and reuse logic belong in km_arabic.</w:t>
            </w:r>
          </w:p>
        </w:tc>
      </w:tr>
    </w:tbl>
    <w:p/>
    <w:p>
      <w:pPr>
        <w:pStyle w:val="Heading1"/>
      </w:pPr>
      <w:r>
        <w:t>8. Pathway model: multiple routes through one engine</w:t>
      </w:r>
    </w:p>
    <w:p>
      <w:pPr/>
      <w:r>
        <w:t>A mature Arabic system should allow several valid routes into the language. Some learners grow through stories first. Others through grammar. Others through audio repetition. Others through scenario use. The database should not force one pedagogic ideology. It should allow several coherent paths to coexist and interoperate.</w:t>
      </w:r>
    </w:p>
    <w:p>
      <w:pPr>
        <w:ind w:left="259" w:hanging="259"/>
      </w:pPr>
      <w:r>
        <w:rPr>
          <w:b/>
        </w:rPr>
        <w:t xml:space="preserve">• </w:t>
      </w:r>
      <w:r>
        <w:rPr>
          <w:b/>
        </w:rPr>
        <w:t>Canonical principle</w:t>
      </w:r>
      <w:r>
        <w:t xml:space="preserve"> - different pathways must share one learner state and one packet ontology.</w:t>
      </w:r>
    </w:p>
    <w:p>
      <w:pPr>
        <w:ind w:left="259" w:hanging="259"/>
      </w:pPr>
      <w:r>
        <w:rPr>
          <w:b/>
        </w:rPr>
        <w:t xml:space="preserve">• </w:t>
      </w:r>
      <w:r>
        <w:rPr>
          <w:b/>
        </w:rPr>
        <w:t>Authoring implication</w:t>
      </w:r>
      <w:r>
        <w:t xml:space="preserve"> - a single material segment should be reusable in curriculum packets, scenario packets, and app packets.</w:t>
      </w:r>
    </w:p>
    <w:p>
      <w:pPr>
        <w:ind w:left="259" w:hanging="259"/>
      </w:pPr>
      <w:r>
        <w:rPr>
          <w:b/>
        </w:rPr>
        <w:t xml:space="preserve">• </w:t>
      </w:r>
      <w:r>
        <w:rPr>
          <w:b/>
        </w:rPr>
        <w:t>Recommendation implication</w:t>
      </w:r>
      <w:r>
        <w:t xml:space="preserve"> - the next-best action can come from a different pathway than the previous packet if that better serves acquisition.</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Pathway</w:t>
            </w:r>
          </w:p>
        </w:tc>
        <w:tc>
          <w:tcPr>
            <w:tcW w:type="dxa" w:w="432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What it organizes</w:t>
            </w:r>
          </w:p>
        </w:tc>
        <w:tc>
          <w:tcPr>
            <w:tcW w:type="dxa" w:w="3888"/>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Why it matters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Curriculum pathway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formal progression through pronunciation, orthography, sarf, nahw, balagha, and writing</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concept learning and system-building</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Scenario pathway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daily-life and institutional use-cases through domains and roles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usable language in settings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Media pathway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scene-based learning from scripts, subtitles, drama, speeches, and clips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natural rhythm and authentic chunking</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Literature pathway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stories, adab, poetry, and long-form reading</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taste, stamina, cultural memory, and interpretation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Audio-first pathway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listen, repeat, shadow, dictate, and recall</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aural acquisition and fluency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App micro-learning pathway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short, repeatable, level-based steps derived from all other pathways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daily momentum and spaced acquisition</w:t>
            </w:r>
          </w:p>
        </w:tc>
      </w:tr>
    </w:tbl>
    <w:p/>
    <w:p>
      <w:pPr>
        <w:pStyle w:val="Heading1"/>
      </w:pPr>
      <w:r>
        <w:t>9. The pedagogic atom: material -&gt; segment -&gt; packet -&gt; challenge -&gt; review</w:t>
      </w:r>
    </w:p>
    <w:p>
      <w:pPr/>
      <w:r>
        <w:t>The core reusable unit should not be the old-style lesson row. It should be a chain of acquisition objects. A material item is the owned source object. A segment is a pedagogically meaningful slice of that material. A packet is a curated learning bundle assembled from one or more segments. A challenge is a learner-facing task generated from a packet. A review object is the time-aware continuation of learning after first exposure.</w:t>
      </w:r>
    </w:p>
    <w:p>
      <w:pPr/>
      <w:r>
        <w:t>This chain lets one story paragraph become several different things: a beginner listening packet, a vocabulary packet, a grammar transformation packet, a shadowing clip, a short-answer comprehension prompt, and a later spaced review item. The point is not to multiply rows unnecessarily. The point is to preserve reuse without duplicating pedagogic authorship.</w:t>
      </w:r>
    </w:p>
    <w:p>
      <w:pPr>
        <w:ind w:left="259" w:hanging="259"/>
      </w:pPr>
      <w:r>
        <w:rPr>
          <w:b/>
        </w:rPr>
        <w:t xml:space="preserve">• </w:t>
      </w:r>
      <w:r>
        <w:rPr>
          <w:b/>
        </w:rPr>
        <w:t>Material</w:t>
      </w:r>
      <w:r>
        <w:t xml:space="preserve"> - the source work or object: poem, story, lecture, dialogue, scene, song, article, excerpt, or worksheet.</w:t>
      </w:r>
    </w:p>
    <w:p>
      <w:pPr>
        <w:ind w:left="259" w:hanging="259"/>
      </w:pPr>
      <w:r>
        <w:rPr>
          <w:b/>
        </w:rPr>
        <w:t xml:space="preserve">• </w:t>
      </w:r>
      <w:r>
        <w:rPr>
          <w:b/>
        </w:rPr>
        <w:t>Segment</w:t>
      </w:r>
      <w:r>
        <w:t xml:space="preserve"> - a stable excerpt, scene, line, stanza, timestamp range, or text span.</w:t>
      </w:r>
    </w:p>
    <w:p>
      <w:pPr>
        <w:ind w:left="259" w:hanging="259"/>
      </w:pPr>
      <w:r>
        <w:rPr>
          <w:b/>
        </w:rPr>
        <w:t xml:space="preserve">• </w:t>
      </w:r>
      <w:r>
        <w:rPr>
          <w:b/>
        </w:rPr>
        <w:t>Packet</w:t>
      </w:r>
      <w:r>
        <w:t xml:space="preserve"> - the smallest coherent learning bundle intended for one sitting or one app step group.</w:t>
      </w:r>
    </w:p>
    <w:p>
      <w:pPr>
        <w:ind w:left="259" w:hanging="259"/>
      </w:pPr>
      <w:r>
        <w:rPr>
          <w:b/>
        </w:rPr>
        <w:t xml:space="preserve">• </w:t>
      </w:r>
      <w:r>
        <w:rPr>
          <w:b/>
        </w:rPr>
        <w:t>Challenge</w:t>
      </w:r>
      <w:r>
        <w:t xml:space="preserve"> - the concrete interaction: match, dictate, reorder, summarize, translate, respond, perform, identify.</w:t>
      </w:r>
    </w:p>
    <w:p>
      <w:pPr>
        <w:ind w:left="259" w:hanging="259"/>
      </w:pPr>
      <w:r>
        <w:rPr>
          <w:b/>
        </w:rPr>
        <w:t xml:space="preserve">• </w:t>
      </w:r>
      <w:r>
        <w:rPr>
          <w:b/>
        </w:rPr>
        <w:t>Review</w:t>
      </w:r>
      <w:r>
        <w:t xml:space="preserve"> - the spaced continuation of the same learning object after initial delivery.</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Why this matters: </w:t>
            </w:r>
            <w:r>
              <w:rPr>
                <w:rFonts w:ascii="Arial" w:hAnsi="Arial"/>
                <w:sz w:val="20"/>
              </w:rPr>
              <w:t>Once the atom is correct, the same canonical engine can feed immersive study screens, teacher assignment flows, and Duolingo-style steps without schema duplication.</w:t>
            </w:r>
          </w:p>
        </w:tc>
      </w:tr>
    </w:tbl>
    <w:p/>
    <w:p>
      <w:pPr>
        <w:pStyle w:val="Heading1"/>
      </w:pPr>
      <w:r>
        <w:t>10. Curriculum doctrine: more than sarf, nahw, and balagha</w:t>
      </w:r>
    </w:p>
    <w:p>
      <w:pPr/>
      <w:r>
        <w:t>The earlier AR doctrine correctly identified one curriculum container with major sciences such as sarf, nahw, and balagha. For the final long-term design, the curriculum spine should expand slightly so early acquisition is not under-modeled. A learner cannot reach grammar science if the system does not formally model sound, script, and writing foundations.</w:t>
      </w:r>
    </w:p>
    <w:p>
      <w:pPr/>
      <w:r>
        <w:t>The recommended curriculum spine is therefore broader at the root while preserving sarf, nahw, and balagha as major high-value sciences. The engine should be able to publish track-specific and level-specific packets from the same underlying curriculum structure.</w:t>
      </w:r>
    </w:p>
    <w:p>
      <w:pPr>
        <w:ind w:left="259" w:hanging="259"/>
      </w:pPr>
      <w:r>
        <w:rPr>
          <w:b/>
        </w:rPr>
        <w:t xml:space="preserve">• </w:t>
      </w:r>
      <w:r>
        <w:rPr>
          <w:b/>
        </w:rPr>
        <w:t>Foundational speech and sound</w:t>
      </w:r>
      <w:r>
        <w:t xml:space="preserve"> - pronunciation, listening discrimination, syllable rhythm, common sound confusions, and guided imitation.</w:t>
      </w:r>
    </w:p>
    <w:p>
      <w:pPr>
        <w:ind w:left="259" w:hanging="259"/>
      </w:pPr>
      <w:r>
        <w:rPr>
          <w:b/>
        </w:rPr>
        <w:t xml:space="preserve">• </w:t>
      </w:r>
      <w:r>
        <w:rPr>
          <w:b/>
        </w:rPr>
        <w:t>Orthography and script</w:t>
      </w:r>
      <w:r>
        <w:t xml:space="preserve"> - letter recognition, letter joining, spelling patterns, hamzah rules where applicable, typing, and handwriting-oriented patterns.</w:t>
      </w:r>
    </w:p>
    <w:p>
      <w:pPr>
        <w:ind w:left="259" w:hanging="259"/>
      </w:pPr>
      <w:r>
        <w:rPr>
          <w:b/>
        </w:rPr>
        <w:t xml:space="preserve">• </w:t>
      </w:r>
      <w:r>
        <w:rPr>
          <w:b/>
        </w:rPr>
        <w:t>Phrase and pattern bank</w:t>
      </w:r>
      <w:r>
        <w:t xml:space="preserve"> - high-frequency formulae, sentence frames, and early productive templates.</w:t>
      </w:r>
    </w:p>
    <w:p>
      <w:pPr>
        <w:ind w:left="259" w:hanging="259"/>
      </w:pPr>
      <w:r>
        <w:rPr>
          <w:b/>
        </w:rPr>
        <w:t xml:space="preserve">• </w:t>
      </w:r>
      <w:r>
        <w:rPr>
          <w:b/>
        </w:rPr>
        <w:t>Sarf</w:t>
      </w:r>
      <w:r>
        <w:t xml:space="preserve"> - verb forms, noun derivation, weak forms, participles, verbal nouns, and pattern awareness.</w:t>
      </w:r>
    </w:p>
    <w:p>
      <w:pPr>
        <w:ind w:left="259" w:hanging="259"/>
      </w:pPr>
      <w:r>
        <w:rPr>
          <w:b/>
        </w:rPr>
        <w:t xml:space="preserve">• </w:t>
      </w:r>
      <w:r>
        <w:rPr>
          <w:b/>
        </w:rPr>
        <w:t>Nahw</w:t>
      </w:r>
      <w:r>
        <w:t xml:space="preserve"> - sentence building, governance, particles, clause relations, agreement, and complex structure.</w:t>
      </w:r>
    </w:p>
    <w:p>
      <w:pPr>
        <w:ind w:left="259" w:hanging="259"/>
      </w:pPr>
      <w:r>
        <w:rPr>
          <w:b/>
        </w:rPr>
        <w:t xml:space="preserve">• </w:t>
      </w:r>
      <w:r>
        <w:rPr>
          <w:b/>
        </w:rPr>
        <w:t>Balagha and style</w:t>
      </w:r>
      <w:r>
        <w:t xml:space="preserve"> - imagery, emphasis, ordering, rhetorical effect, tone, and aesthetic response.</w:t>
      </w:r>
    </w:p>
    <w:p>
      <w:pPr>
        <w:ind w:left="259" w:hanging="259"/>
      </w:pPr>
      <w:r>
        <w:rPr>
          <w:b/>
        </w:rPr>
        <w:t xml:space="preserve">• </w:t>
      </w:r>
      <w:r>
        <w:rPr>
          <w:b/>
        </w:rPr>
        <w:t>Composition and expression</w:t>
      </w:r>
      <w:r>
        <w:t xml:space="preserve"> - controlled short writing, guided reformulation, summary, and structured response.</w:t>
      </w:r>
    </w:p>
    <w:p>
      <w:pPr>
        <w:ind w:left="259" w:hanging="259"/>
      </w:pPr>
      <w:r>
        <w:rPr>
          <w:b/>
        </w:rPr>
        <w:t xml:space="preserve">• </w:t>
      </w:r>
      <w:r>
        <w:rPr>
          <w:b/>
        </w:rPr>
        <w:t>Register bridge</w:t>
      </w:r>
      <w:r>
        <w:t xml:space="preserve"> - explicit MSA vs Classical contrasts, continuity notes, and transfer patterns.</w:t>
      </w:r>
    </w:p>
    <w:p>
      <w:pPr>
        <w:pStyle w:val="Heading1"/>
      </w:pPr>
      <w:r>
        <w:t>11. Audio-first and speaking doctrine</w:t>
      </w:r>
    </w:p>
    <w:p>
      <w:pPr/>
      <w:r>
        <w:t>Audio should not be attached as an optional file link on a content row. Audio is a pedagogic surface with its own ontology. The system should model audio objects, cue ranges, repetition rules, listening checkpoints, dictation targets, shadowing targets, and performance logs.</w:t>
      </w:r>
    </w:p>
    <w:p>
      <w:pPr/>
      <w:r>
        <w:t>Speaking in this design does not mean open-ended language tutoring by default. It means a structured progression from imitation to response. Early speaking may be repeat-and-match. Later speaking may become roleplay completion, guided sentence production, contrastive restatement, and eventually freer response.</w:t>
      </w:r>
    </w:p>
    <w:p>
      <w:pPr>
        <w:ind w:left="259" w:hanging="259"/>
      </w:pPr>
      <w:r>
        <w:rPr>
          <w:b/>
        </w:rPr>
        <w:t xml:space="preserve">• </w:t>
      </w:r>
      <w:r>
        <w:rPr>
          <w:b/>
        </w:rPr>
        <w:t>Every meaningful audio object needs</w:t>
      </w:r>
      <w:r>
        <w:t xml:space="preserve"> - speed variants, cue points, repeat windows, segmentation, and transcript alignment.</w:t>
      </w:r>
    </w:p>
    <w:p>
      <w:pPr>
        <w:ind w:left="259" w:hanging="259"/>
      </w:pPr>
      <w:r>
        <w:rPr>
          <w:b/>
        </w:rPr>
        <w:t xml:space="preserve">• </w:t>
      </w:r>
      <w:r>
        <w:rPr>
          <w:b/>
        </w:rPr>
        <w:t>Listening history is pedagogy</w:t>
      </w:r>
      <w:r>
        <w:t xml:space="preserve"> - replays, successful checks, slowdowns, and abandon points all matter for learner modeling.</w:t>
      </w:r>
    </w:p>
    <w:p>
      <w:pPr>
        <w:ind w:left="259" w:hanging="259"/>
      </w:pPr>
      <w:r>
        <w:rPr>
          <w:b/>
        </w:rPr>
        <w:t xml:space="preserve">• </w:t>
      </w:r>
      <w:r>
        <w:rPr>
          <w:b/>
        </w:rPr>
        <w:t>Shadowing is not the same as listening</w:t>
      </w:r>
      <w:r>
        <w:t xml:space="preserve"> - it deserves separate rows and separate mastery interpretation.</w:t>
      </w:r>
    </w:p>
    <w:p>
      <w:pPr>
        <w:ind w:left="259" w:hanging="259"/>
      </w:pPr>
      <w:r>
        <w:rPr>
          <w:b/>
        </w:rPr>
        <w:t xml:space="preserve">• </w:t>
      </w:r>
      <w:r>
        <w:rPr>
          <w:b/>
        </w:rPr>
        <w:t>Pronunciation should be track-aware</w:t>
      </w:r>
      <w:r>
        <w:t xml:space="preserve"> - a learner’s recitation habits, MSA speech habits, and literary reading habits may reinforce or diverge from one another.</w:t>
      </w:r>
    </w:p>
    <w:p>
      <w:pPr>
        <w:pStyle w:val="Heading1"/>
      </w:pPr>
      <w:r>
        <w:t>12. Literature, poetry, story, song, and drama as first-class pedagogy</w:t>
      </w:r>
    </w:p>
    <w:p>
      <w:pPr/>
      <w:r>
        <w:t>A genuinely rich Arabic acquisition engine should treat literary and semi-literary materials as core, not peripheral. Poetry trains sound memory, image density, and rhetorical taste. Stories train narrative comprehension and emotional prediction. Drama and script train dialogue rhythm and speaker intent. Songs and chant-like material can support repeated exposure, chunking, and memorability when used thoughtfully.</w:t>
      </w:r>
    </w:p>
    <w:p>
      <w:pPr/>
      <w:r>
        <w:t>These material classes need specific metadata and decomposition logic. A poem may need stanza and line structures, meter notes when relevant, speaker voice, memorization flags, and imagery themes. A story may need scene sequencing, plot beats, character labels, and comprehension checkpoints. A drama script may need role labels, turn-taking, and performability metadata. A song may need refrain detection, repetition clusters, and safe rights handling.</w:t>
      </w:r>
    </w:p>
    <w:p>
      <w:pPr>
        <w:ind w:left="259" w:hanging="259"/>
      </w:pPr>
      <w:r>
        <w:rPr>
          <w:b/>
        </w:rPr>
        <w:t xml:space="preserve">• </w:t>
      </w:r>
      <w:r>
        <w:rPr>
          <w:b/>
        </w:rPr>
        <w:t>Do not flatten all content into 'documents'</w:t>
      </w:r>
      <w:r>
        <w:t xml:space="preserve"> - material classes have different pedagogic affordances and should be modeled accordingly.</w:t>
      </w:r>
    </w:p>
    <w:p>
      <w:pPr>
        <w:ind w:left="259" w:hanging="259"/>
      </w:pPr>
      <w:r>
        <w:rPr>
          <w:b/>
        </w:rPr>
        <w:t xml:space="preserve">• </w:t>
      </w:r>
      <w:r>
        <w:rPr>
          <w:b/>
        </w:rPr>
        <w:t>Keep learning segments reusable</w:t>
      </w:r>
      <w:r>
        <w:t xml:space="preserve"> - a stanza, dialogue turn, or refrain can fuel multiple packets across levels.</w:t>
      </w:r>
    </w:p>
    <w:p>
      <w:pPr>
        <w:ind w:left="259" w:hanging="259"/>
      </w:pPr>
      <w:r>
        <w:rPr>
          <w:b/>
        </w:rPr>
        <w:t xml:space="preserve">• </w:t>
      </w:r>
      <w:r>
        <w:rPr>
          <w:b/>
        </w:rPr>
        <w:t>Use literature for gradual expansion</w:t>
      </w:r>
      <w:r>
        <w:t xml:space="preserve"> - stories and adab can introduce richer Arabic earlier than raw grammar-heavy instruction when properly graded.</w:t>
      </w:r>
    </w:p>
    <w:p>
      <w:pPr>
        <w:pStyle w:val="Heading1"/>
      </w:pPr>
      <w:r>
        <w:t>13. Cohort, teacher, and workspace delivery</w:t>
      </w:r>
    </w:p>
    <w:p>
      <w:pPr/>
      <w:r>
        <w:t>The same canonical engine should serve private learners and teacher-led cohorts. Cohort delivery should not require a second schema or a separate educational product. Instead, classes, memberships, assignments, teacher review, and visibility rules should sit on top of the same packets, segments, materials, and mastery state used in solo learning.</w:t>
      </w:r>
    </w:p>
    <w:p>
      <w:pPr/>
      <w:r>
        <w:t>This also means the engine should support authored packet publishing, cohort-specific packet ordering, teacher feedback loops, and evaluation snapshots without disturbing the underlying pedagogic truth.</w:t>
      </w:r>
    </w:p>
    <w:p>
      <w:pPr>
        <w:ind w:left="259" w:hanging="259"/>
      </w:pPr>
      <w:r>
        <w:rPr>
          <w:b/>
        </w:rPr>
        <w:t xml:space="preserve">• </w:t>
      </w:r>
      <w:r>
        <w:rPr>
          <w:b/>
        </w:rPr>
        <w:t>Class roles</w:t>
      </w:r>
      <w:r>
        <w:t xml:space="preserve"> - teacher, assistant, learner, observer.</w:t>
      </w:r>
    </w:p>
    <w:p>
      <w:pPr>
        <w:ind w:left="259" w:hanging="259"/>
      </w:pPr>
      <w:r>
        <w:rPr>
          <w:b/>
        </w:rPr>
        <w:t xml:space="preserve">• </w:t>
      </w:r>
      <w:r>
        <w:rPr>
          <w:b/>
        </w:rPr>
        <w:t>Assignment targets</w:t>
      </w:r>
      <w:r>
        <w:t xml:space="preserve"> - tracks, levels, packets, scenarios, curriculum units, material segments, or review sets.</w:t>
      </w:r>
    </w:p>
    <w:p>
      <w:pPr>
        <w:ind w:left="259" w:hanging="259"/>
      </w:pPr>
      <w:r>
        <w:rPr>
          <w:b/>
        </w:rPr>
        <w:t xml:space="preserve">• </w:t>
      </w:r>
      <w:r>
        <w:rPr>
          <w:b/>
        </w:rPr>
        <w:t>Teacher feedback</w:t>
      </w:r>
      <w:r>
        <w:t xml:space="preserve"> - should feed mastery evidence rather than live as isolated comments.</w:t>
      </w:r>
    </w:p>
    <w:p>
      <w:pPr>
        <w:ind w:left="259" w:hanging="259"/>
      </w:pPr>
      <w:r>
        <w:rPr>
          <w:b/>
        </w:rPr>
        <w:t xml:space="preserve">• </w:t>
      </w:r>
      <w:r>
        <w:rPr>
          <w:b/>
        </w:rPr>
        <w:t>Workspace publication</w:t>
      </w:r>
      <w:r>
        <w:t xml:space="preserve"> - lets one canonical packet be used privately, within a group, or more broadly according to policy.</w:t>
      </w:r>
    </w:p>
    <w:p>
      <w:pPr>
        <w:pStyle w:val="Heading1"/>
      </w:pPr>
      <w:r>
        <w:t>14. Telemetry, remediation, and recommendation</w:t>
      </w:r>
    </w:p>
    <w:p>
      <w:pPr/>
      <w:r>
        <w:t>Telemetry should explain the learner, not merely count completions. The database should surface why a learner is weak, where the weakness appears, under which material types it recurs, and which next packet is most likely to help.</w:t>
      </w:r>
    </w:p>
    <w:p>
      <w:pPr/>
      <w:r>
        <w:t>Remediation should be treated as authored or generated follow-up acquisition, not as an afterthought. A missed dictation can trigger a slower audio packet. A weak grammar transformation can trigger a micro-drill. A failed story inference can trigger a shorter excerpt or vocabulary pre-teach packet.</w:t>
      </w:r>
    </w:p>
    <w:p>
      <w:pPr>
        <w:ind w:left="259" w:hanging="259"/>
      </w:pPr>
      <w:r>
        <w:rPr>
          <w:b/>
        </w:rPr>
        <w:t xml:space="preserve">• </w:t>
      </w:r>
      <w:r>
        <w:rPr>
          <w:b/>
        </w:rPr>
        <w:t>Telemetry dimensions</w:t>
      </w:r>
      <w:r>
        <w:t xml:space="preserve"> - track, level, skill, domain, scenario, material type, packet type, challenge type, and teacher feedback.</w:t>
      </w:r>
    </w:p>
    <w:p>
      <w:pPr>
        <w:ind w:left="259" w:hanging="259"/>
      </w:pPr>
      <w:r>
        <w:rPr>
          <w:b/>
        </w:rPr>
        <w:t xml:space="preserve">• </w:t>
      </w:r>
      <w:r>
        <w:rPr>
          <w:b/>
        </w:rPr>
        <w:t>Recommendation philosophy</w:t>
      </w:r>
      <w:r>
        <w:t xml:space="preserve"> - small next-best work beats large undifferentiated lesson jumps.</w:t>
      </w:r>
    </w:p>
    <w:p>
      <w:pPr>
        <w:ind w:left="259" w:hanging="259"/>
      </w:pPr>
      <w:r>
        <w:rPr>
          <w:b/>
        </w:rPr>
        <w:t xml:space="preserve">• </w:t>
      </w:r>
      <w:r>
        <w:rPr>
          <w:b/>
        </w:rPr>
        <w:t>Remediation philosophy</w:t>
      </w:r>
      <w:r>
        <w:t xml:space="preserve"> - intervene at the narrowest useful level: cue, phrase, pattern, scene, or packet.</w:t>
      </w:r>
    </w:p>
    <w:p>
      <w:pPr>
        <w:pStyle w:val="Heading1"/>
      </w:pPr>
      <w:r>
        <w:t>15. Duolingo-style app feed doctrine</w:t>
      </w:r>
    </w:p>
    <w:p>
      <w:pPr/>
      <w:r>
        <w:t>The companion app should be a projection of canonical km_arabic truth. It should not become the secret second owner of packets, tracks, or mastery logic. The app can maintain session-oriented state, reward signals, streak summaries, and local presentation details, but the learning semantics remain in km_arabic.</w:t>
      </w:r>
    </w:p>
    <w:p>
      <w:pPr/>
      <w:r>
        <w:t>The app should be able to consume short packets derived from stories, dialogues, poetry lines, grammar mini-sequences, shadowing clips, dictation targets, vocabulary clusters, and scenario drills. That requires km_arabic to publish app-ready objects with render modes, audio cue bindings, expected interaction types, and recommendation ordering.</w:t>
      </w:r>
    </w:p>
    <w:p>
      <w:pPr>
        <w:ind w:left="259" w:hanging="259"/>
      </w:pPr>
      <w:r>
        <w:rPr>
          <w:b/>
        </w:rPr>
        <w:t xml:space="preserve">• </w:t>
      </w:r>
      <w:r>
        <w:rPr>
          <w:b/>
        </w:rPr>
        <w:t>App design implication</w:t>
      </w:r>
      <w:r>
        <w:t xml:space="preserve"> - one canonical packet may produce several prompt variants: Arabic only, Arabic plus gloss, transliteration-assisted, audio-first, or image-supported.</w:t>
      </w:r>
    </w:p>
    <w:p>
      <w:pPr>
        <w:ind w:left="259" w:hanging="259"/>
      </w:pPr>
      <w:r>
        <w:rPr>
          <w:b/>
        </w:rPr>
        <w:t xml:space="preserve">• </w:t>
      </w:r>
      <w:r>
        <w:rPr>
          <w:b/>
        </w:rPr>
        <w:t>App progression implication</w:t>
      </w:r>
      <w:r>
        <w:t xml:space="preserve"> - streaks and hearts are optional UI mechanics; learner mastery remains canonical in km_arabic.</w:t>
      </w:r>
    </w:p>
    <w:p>
      <w:pPr>
        <w:ind w:left="259" w:hanging="259"/>
      </w:pPr>
      <w:r>
        <w:rPr>
          <w:b/>
        </w:rPr>
        <w:t xml:space="preserve">• </w:t>
      </w:r>
      <w:r>
        <w:rPr>
          <w:b/>
        </w:rPr>
        <w:t>App content implication</w:t>
      </w:r>
      <w:r>
        <w:t xml:space="preserve"> - micro-learning should be generated from the same story, poem, dialogue, and curriculum assets used in deep study.</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Non-negotiable: </w:t>
            </w:r>
            <w:r>
              <w:rPr>
                <w:rFonts w:ascii="Arial" w:hAnsi="Arial"/>
                <w:sz w:val="20"/>
              </w:rPr>
              <w:t>A learner must be able to move between full study screens and app practice while preserving one coherent acquisition history.</w:t>
            </w:r>
          </w:p>
        </w:tc>
      </w:tr>
    </w:tbl>
    <w:p/>
    <w:p>
      <w:pPr>
        <w:pStyle w:val="Heading1"/>
      </w:pPr>
      <w:r>
        <w:t>16. Boundaries with the rest of the K-Maps system</w:t>
      </w:r>
    </w:p>
    <w:p>
      <w:pPr/>
      <w:r>
        <w:t>The greenfield km_arabic database should be comprehensive for acquisition, but still modular within the wider platform. The design should distinguish between acquisition ownership and external truth layers or generic infrastructure.</w:t>
      </w:r>
    </w:p>
    <w:p>
      <w:pPr>
        <w:ind w:left="259" w:hanging="259"/>
      </w:pPr>
      <w:r>
        <w:rPr>
          <w:b/>
        </w:rPr>
        <w:t xml:space="preserve">• </w:t>
      </w:r>
      <w:r>
        <w:rPr>
          <w:b/>
        </w:rPr>
        <w:t>km_arabic_linguistics (AL)</w:t>
      </w:r>
      <w:r>
        <w:t xml:space="preserve"> - owns roots, lemmas, morphology, grammar definitions, balagha registries, lexicon evidence, and reusable linguistic truth.</w:t>
      </w:r>
    </w:p>
    <w:p>
      <w:pPr>
        <w:ind w:left="259" w:hanging="259"/>
      </w:pPr>
      <w:r>
        <w:rPr>
          <w:b/>
        </w:rPr>
        <w:t xml:space="preserve">• </w:t>
      </w:r>
      <w:r>
        <w:rPr>
          <w:b/>
        </w:rPr>
        <w:t>km_quran (QR)</w:t>
      </w:r>
      <w:r>
        <w:t xml:space="preserve"> - owns Quran corpus, passage semantics, tafsir-specific structures, and Quran-native analytical truth.</w:t>
      </w:r>
    </w:p>
    <w:p>
      <w:pPr>
        <w:ind w:left="259" w:hanging="259"/>
      </w:pPr>
      <w:r>
        <w:rPr>
          <w:b/>
        </w:rPr>
        <w:t xml:space="preserve">• </w:t>
      </w:r>
      <w:r>
        <w:rPr>
          <w:b/>
        </w:rPr>
        <w:t>km_content (CM)</w:t>
      </w:r>
      <w:r>
        <w:t xml:space="preserve"> - may continue to own generic publishing, reusable document blocks, and generic media asset infrastructure if you retain a separate CMS.</w:t>
      </w:r>
    </w:p>
    <w:p>
      <w:pPr>
        <w:ind w:left="259" w:hanging="259"/>
      </w:pPr>
      <w:r>
        <w:rPr>
          <w:b/>
        </w:rPr>
        <w:t xml:space="preserve">• </w:t>
      </w:r>
      <w:r>
        <w:rPr>
          <w:b/>
        </w:rPr>
        <w:t>km_planner (PL)</w:t>
      </w:r>
      <w:r>
        <w:t xml:space="preserve"> - orchestrates plans and sessions, but should not become the owner of Arabic pedagogy.</w:t>
      </w:r>
    </w:p>
    <w:p>
      <w:pPr>
        <w:ind w:left="259" w:hanging="259"/>
      </w:pPr>
      <w:r>
        <w:rPr>
          <w:b/>
        </w:rPr>
        <w:t xml:space="preserve">• </w:t>
      </w:r>
      <w:r>
        <w:rPr>
          <w:b/>
        </w:rPr>
        <w:t>km_core (CORE)</w:t>
      </w:r>
      <w:r>
        <w:t xml:space="preserve"> - owns user, workspace, auth, and permissions.</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Practical interpretation: </w:t>
            </w:r>
            <w:r>
              <w:rPr>
                <w:rFonts w:ascii="Arial" w:hAnsi="Arial"/>
                <w:sz w:val="20"/>
              </w:rPr>
              <w:t>km_arabic should own acquisition-facing material metadata and pedagogic segmentation even when the physical media blob is stored elsewhere.</w:t>
            </w:r>
          </w:p>
        </w:tc>
      </w:tr>
    </w:tbl>
    <w:p/>
    <w:p>
      <w:pPr>
        <w:pStyle w:val="Heading1"/>
      </w:pPr>
      <w:r>
        <w:t>17. Long-term schema rules implied by the doctrine</w:t>
      </w:r>
    </w:p>
    <w:p>
      <w:pPr/>
      <w:r>
        <w:t>A coherent doctrine should generate a coherent schema discipline. The following rules should shape the final database and the migration plan.</w:t>
      </w:r>
    </w:p>
    <w:p>
      <w:pPr>
        <w:ind w:left="259" w:hanging="259"/>
      </w:pPr>
      <w:r>
        <w:rPr>
          <w:b/>
        </w:rPr>
        <w:t xml:space="preserve">• </w:t>
      </w:r>
      <w:r>
        <w:rPr>
          <w:b/>
        </w:rPr>
        <w:t>Use stable text primary keys / ULIDs</w:t>
      </w:r>
      <w:r>
        <w:t xml:space="preserve"> - avoid integer auto-increment for canonical entities in the new target state.</w:t>
      </w:r>
    </w:p>
    <w:p>
      <w:pPr>
        <w:ind w:left="259" w:hanging="259"/>
      </w:pPr>
      <w:r>
        <w:rPr>
          <w:b/>
        </w:rPr>
        <w:t xml:space="preserve">• </w:t>
      </w:r>
      <w:r>
        <w:rPr>
          <w:b/>
        </w:rPr>
        <w:t>Avoid cross-database foreign keys</w:t>
      </w:r>
      <w:r>
        <w:t xml:space="preserve"> - cross-module associations should use typed refs and service-layer resolution.</w:t>
      </w:r>
    </w:p>
    <w:p>
      <w:pPr>
        <w:ind w:left="259" w:hanging="259"/>
      </w:pPr>
      <w:r>
        <w:rPr>
          <w:b/>
        </w:rPr>
        <w:t xml:space="preserve">• </w:t>
      </w:r>
      <w:r>
        <w:rPr>
          <w:b/>
        </w:rPr>
        <w:t>Normalize stable acquisition truth</w:t>
      </w:r>
      <w:r>
        <w:t xml:space="preserve"> - do not bury core learner state or packet identity inside large JSON blobs.</w:t>
      </w:r>
    </w:p>
    <w:p>
      <w:pPr>
        <w:ind w:left="259" w:hanging="259"/>
      </w:pPr>
      <w:r>
        <w:rPr>
          <w:b/>
        </w:rPr>
        <w:t xml:space="preserve">• </w:t>
      </w:r>
      <w:r>
        <w:rPr>
          <w:b/>
        </w:rPr>
        <w:t>Reserve JSON for flexible payloads</w:t>
      </w:r>
      <w:r>
        <w:t xml:space="preserve"> - editorial metadata, render variants, asset payloads, and model-specific traces belong in JSON only when structure is truly variable.</w:t>
      </w:r>
    </w:p>
    <w:p>
      <w:pPr>
        <w:ind w:left="259" w:hanging="259"/>
      </w:pPr>
      <w:r>
        <w:rPr>
          <w:b/>
        </w:rPr>
        <w:t xml:space="preserve">• </w:t>
      </w:r>
      <w:r>
        <w:rPr>
          <w:b/>
        </w:rPr>
        <w:t>Separate canonical from projection</w:t>
      </w:r>
      <w:r>
        <w:t xml:space="preserve"> - app packets, dashboards, exports, and caches must be downstream of core packet and mastery rows.</w:t>
      </w:r>
    </w:p>
    <w:p>
      <w:pPr>
        <w:ind w:left="259" w:hanging="259"/>
      </w:pPr>
      <w:r>
        <w:rPr>
          <w:b/>
        </w:rPr>
        <w:t xml:space="preserve">• </w:t>
      </w:r>
      <w:r>
        <w:rPr>
          <w:b/>
        </w:rPr>
        <w:t>Version packet payloads</w:t>
      </w:r>
      <w:r>
        <w:t xml:space="preserve"> - learning packets and challenge definitions should carry schema versioning for safe evolution.</w:t>
      </w:r>
    </w:p>
    <w:p>
      <w:pPr>
        <w:ind w:left="259" w:hanging="259"/>
      </w:pPr>
      <w:r>
        <w:rPr>
          <w:b/>
        </w:rPr>
        <w:t xml:space="preserve">• </w:t>
      </w:r>
      <w:r>
        <w:rPr>
          <w:b/>
        </w:rPr>
        <w:t>Keep status systems intentional</w:t>
      </w:r>
      <w:r>
        <w:t xml:space="preserve"> - draft, review, active, archived, published, suspended, and deprecated should be used only where lifecycle actually matters.</w:t>
      </w:r>
    </w:p>
    <w:p>
      <w:pPr>
        <w:pStyle w:val="Heading1"/>
      </w:pPr>
      <w:r>
        <w:t>18. Completion test for the final km_arabic database</w:t>
      </w:r>
    </w:p>
    <w:p>
      <w:pPr/>
      <w:r>
        <w:t>The redesign is complete only when the module can model a learner from early childlike exposure through sustained reading and audio comprehension, across both MSA and Classical Arabic, while using one coherent acquisition model and feeding both deep-study screens and a Duolingo-style app.</w:t>
      </w:r>
    </w:p>
    <w:p>
      <w:pPr/>
      <w:r>
        <w:t>In practice, a finished design should let one learner study a story, shadow a dialogue, review a poem line, complete a grammar micro-sequence, receive a teacher assignment, and see a unified mastery picture without content duplication or ownership confusion.</w:t>
      </w:r>
    </w:p>
    <w:p>
      <w:pPr>
        <w:ind w:left="259" w:hanging="259"/>
      </w:pPr>
      <w:r>
        <w:rPr>
          <w:b/>
        </w:rPr>
        <w:t xml:space="preserve">• </w:t>
      </w:r>
      <w:r>
        <w:rPr>
          <w:b/>
        </w:rPr>
        <w:t>If this database is healthy</w:t>
      </w:r>
      <w:r>
        <w:t xml:space="preserve"> - it can explain what a learner should study next and why.</w:t>
      </w:r>
    </w:p>
    <w:p>
      <w:pPr>
        <w:ind w:left="259" w:hanging="259"/>
      </w:pPr>
      <w:r>
        <w:rPr>
          <w:b/>
        </w:rPr>
        <w:t xml:space="preserve">• </w:t>
      </w:r>
      <w:r>
        <w:rPr>
          <w:b/>
        </w:rPr>
        <w:t>If this database is healthy</w:t>
      </w:r>
      <w:r>
        <w:t xml:space="preserve"> - it can reuse one content object across many pedagogic surfaces.</w:t>
      </w:r>
    </w:p>
    <w:p>
      <w:pPr>
        <w:ind w:left="259" w:hanging="259"/>
      </w:pPr>
      <w:r>
        <w:rPr>
          <w:b/>
        </w:rPr>
        <w:t xml:space="preserve">• </w:t>
      </w:r>
      <w:r>
        <w:rPr>
          <w:b/>
        </w:rPr>
        <w:t>If this database is healthy</w:t>
      </w:r>
      <w:r>
        <w:t xml:space="preserve"> - it can hold the material universe of Arabic acquisition - stories, adab, poetry, songs, drama, essays, and lectures - without losing schema clarity.</w:t>
      </w:r>
    </w:p>
    <w:p>
      <w:pPr>
        <w:ind w:left="259" w:hanging="259"/>
      </w:pPr>
      <w:r>
        <w:rPr>
          <w:b/>
        </w:rPr>
        <w:t xml:space="preserve">• </w:t>
      </w:r>
      <w:r>
        <w:rPr>
          <w:b/>
        </w:rPr>
        <w:t>If this database is healthy</w:t>
      </w:r>
      <w:r>
        <w:t xml:space="preserve"> - it can remain modular while still feeling comprehensive from the learner’s point of view.</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Final doctrinal summary: </w:t>
            </w:r>
            <w:r>
              <w:rPr>
                <w:rFonts w:ascii="Arial" w:hAnsi="Arial"/>
                <w:sz w:val="20"/>
              </w:rPr>
              <w:t>km_arabic should be the full Arabic language acquisition engine of K-Maps: level-based, track-aware, material-rich, audio-native, literature-capable, remediation-aware, cohort-ready, and app-feed capable.</w:t>
            </w:r>
          </w:p>
        </w:tc>
      </w:tr>
    </w:tbl>
    <w:p/>
    <w:p>
      <w:pPr>
        <w:pStyle w:val="Heading1"/>
      </w:pPr>
      <w:r>
        <w:t>Appendix A. Key terms</w:t>
      </w:r>
    </w:p>
    <w:tbl>
      <w:tblPr>
        <w:tblStyle w:val="TableGrid"/>
        <w:tblW w:type="auto" w:w="0"/>
        <w:jc w:val="center"/>
        <w:tblLayout w:type="fixed"/>
        <w:tblLook w:firstColumn="1" w:firstRow="1" w:lastColumn="0" w:lastRow="0" w:noHBand="0" w:noVBand="1" w:val="04A0"/>
      </w:tblPr>
      <w:tblGrid>
        <w:gridCol w:w="4896"/>
        <w:gridCol w:w="4896"/>
      </w:tblGrid>
      <w:tr>
        <w:tc>
          <w:tcPr>
            <w:tcW w:type="dxa" w:w="2448"/>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Term</w:t>
            </w:r>
          </w:p>
        </w:tc>
        <w:tc>
          <w:tcPr>
            <w:tcW w:type="dxa" w:w="7848"/>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Meaning in this doctrine</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Material item</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A canonical owned acquisition source object such as a story, poem, scene, lecture, or dialogue.</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Segment</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A stable slice of a material item, such as a line, stanza, paragraph, timestamp range, or dialogue turn.</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Packet</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A coherent learning bundle assembled for one sitting, one task cluster, or one app step group.</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Challenge</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A learner-facing interaction generated from a packet, such as dictation, match, reorder, summary, or guided response.</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Review object</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A spaced continuation of learning after first exposure.</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Track</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A structural stream such as MSA, Classical Arabic, or blended.</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Level</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A staged acquisition band used for gating, packaging, and recommendation.</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Weak spot</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An explainable deficiency in a bounded part of the learner model that can be remediated.</w:t>
            </w:r>
          </w:p>
        </w:tc>
      </w:tr>
    </w:tbl>
    <w:p/>
    <w:sectPr w:rsidR="00FC693F" w:rsidRPr="0006063C" w:rsidSect="00034616">
      <w:headerReference w:type="default" r:id="rId9"/>
      <w:footerReference w:type="default" r:id="rId10"/>
      <w:pgSz w:w="12240" w:h="15840"/>
      <w:pgMar w:top="1008" w:right="1224" w:bottom="864"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K-Maps vNext | km_arabic Philosophy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E74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60" w:line="252" w:lineRule="auto"/>
    </w:pPr>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