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2"/>
        </w:rPr>
        <w:t>k-maps Worldview Source Strategy</w:t>
      </w:r>
    </w:p>
    <w:p>
      <w:pPr>
        <w:jc w:val="center"/>
      </w:pPr>
      <w:r>
        <w:rPr>
          <w:b/>
          <w:color w:val="366092"/>
          <w:sz w:val="34"/>
        </w:rPr>
        <w:t>Pre-Islamic Jewish Sources &amp; History</w:t>
      </w:r>
    </w:p>
    <w:p>
      <w:pPr>
        <w:jc w:val="center"/>
      </w:pPr>
      <w:r>
        <w:rPr>
          <w:i/>
          <w:sz w:val="22"/>
        </w:rPr>
        <w:t>Worldview → Islamic Studies General → Abrahamic / Jewish Context Before Islam</w:t>
      </w:r>
    </w:p>
    <w:p>
      <w:pPr>
        <w:jc w:val="center"/>
      </w:pPr>
      <w:r>
        <w:rPr>
          <w:sz w:val="20"/>
        </w:rPr>
        <w:t>Purpose: build an evidence-first source spine for Jewish history, thought, communities, and scriptural interpretation before the rise of Islam, without collapsing it into later polemics or fiqh debates.</w:t>
      </w:r>
    </w:p>
    <w:tbl>
      <w:tblPr>
        <w:tblStyle w:val="TableGrid"/>
        <w:tblW w:type="auto" w:w="0"/>
        <w:tblLook w:firstColumn="1" w:firstRow="1" w:lastColumn="0" w:lastRow="0" w:noHBand="0" w:noVBand="1" w:val="04A0"/>
      </w:tblPr>
      <w:tblGrid>
        <w:gridCol w:w="10656"/>
      </w:tblGrid>
      <w:tr>
        <w:tc>
          <w:tcPr>
            <w:tcW w:type="dxa" w:w="10656"/>
            <w:shd w:fill="EAF2F8"/>
          </w:tcPr>
          <w:p>
            <w:r/>
            <w:r>
              <w:rPr>
                <w:b/>
                <w:sz w:val="18"/>
              </w:rPr>
              <w:t>Placement rule: raw Jewish source material belongs in km_worldview, not km_quran. Only specific Qur'anic bridges, claims, or passage links should connect back through wv_node_quran_links or qr scope references.</w:t>
            </w:r>
          </w:p>
        </w:tc>
      </w:tr>
    </w:tbl>
    <w:p>
      <w:r>
        <w:br w:type="page"/>
      </w:r>
    </w:p>
    <w:p>
      <w:pPr>
        <w:pStyle w:val="Heading1"/>
      </w:pPr>
      <w:r>
        <w:t>Static Table of Contents</w:t>
      </w:r>
    </w:p>
    <w:p>
      <w:pPr>
        <w:pStyle w:val="ListBullet"/>
        <w:spacing w:after="40"/>
      </w:pPr>
      <w:r>
        <w:rPr>
          <w:sz w:val="19"/>
        </w:rPr>
        <w:t>1. Executive summary</w:t>
      </w:r>
    </w:p>
    <w:p>
      <w:pPr>
        <w:pStyle w:val="ListBullet"/>
        <w:spacing w:after="40"/>
      </w:pPr>
      <w:r>
        <w:rPr>
          <w:sz w:val="19"/>
        </w:rPr>
        <w:t>2. Scope and historical periods</w:t>
      </w:r>
    </w:p>
    <w:p>
      <w:pPr>
        <w:pStyle w:val="ListBullet"/>
        <w:spacing w:after="40"/>
      </w:pPr>
      <w:r>
        <w:rPr>
          <w:sz w:val="19"/>
        </w:rPr>
        <w:t>3. What “earliest” means for Jewish sources</w:t>
      </w:r>
    </w:p>
    <w:p>
      <w:pPr>
        <w:pStyle w:val="ListBullet"/>
        <w:spacing w:after="40"/>
      </w:pPr>
      <w:r>
        <w:rPr>
          <w:sz w:val="19"/>
        </w:rPr>
        <w:t>4. Priority source hierarchy</w:t>
      </w:r>
    </w:p>
    <w:p>
      <w:pPr>
        <w:pStyle w:val="ListBullet"/>
        <w:spacing w:after="40"/>
      </w:pPr>
      <w:r>
        <w:rPr>
          <w:sz w:val="19"/>
        </w:rPr>
        <w:t>5. Recommended source catalogue</w:t>
      </w:r>
    </w:p>
    <w:p>
      <w:pPr>
        <w:pStyle w:val="ListBullet"/>
        <w:spacing w:after="40"/>
      </w:pPr>
      <w:r>
        <w:rPr>
          <w:sz w:val="19"/>
        </w:rPr>
        <w:t>6. Pre-Islamic Arabian Jewish layer</w:t>
      </w:r>
    </w:p>
    <w:p>
      <w:pPr>
        <w:pStyle w:val="ListBullet"/>
        <w:spacing w:after="40"/>
      </w:pPr>
      <w:r>
        <w:rPr>
          <w:sz w:val="19"/>
        </w:rPr>
        <w:t>7. Thought and community themes to extract</w:t>
      </w:r>
    </w:p>
    <w:p>
      <w:pPr>
        <w:pStyle w:val="ListBullet"/>
        <w:spacing w:after="40"/>
      </w:pPr>
      <w:r>
        <w:rPr>
          <w:sz w:val="19"/>
        </w:rPr>
        <w:t>8. k-maps data model and table mapping</w:t>
      </w:r>
    </w:p>
    <w:p>
      <w:pPr>
        <w:pStyle w:val="ListBullet"/>
        <w:spacing w:after="40"/>
      </w:pPr>
      <w:r>
        <w:rPr>
          <w:sz w:val="19"/>
        </w:rPr>
        <w:t>9. Ingestion workflow and review statuses</w:t>
      </w:r>
    </w:p>
    <w:p>
      <w:pPr>
        <w:pStyle w:val="ListBullet"/>
        <w:spacing w:after="40"/>
      </w:pPr>
      <w:r>
        <w:rPr>
          <w:sz w:val="19"/>
        </w:rPr>
        <w:t>10. Pilot sprint plan</w:t>
      </w:r>
    </w:p>
    <w:p>
      <w:pPr>
        <w:pStyle w:val="ListBullet"/>
        <w:spacing w:after="40"/>
      </w:pPr>
      <w:r>
        <w:rPr>
          <w:sz w:val="19"/>
        </w:rPr>
        <w:t>11. Bibliography and online anchors</w:t>
      </w:r>
    </w:p>
    <w:p>
      <w:pPr>
        <w:pStyle w:val="Heading1"/>
      </w:pPr>
      <w:r>
        <w:t>1. Executive Summary</w:t>
      </w:r>
    </w:p>
    <w:p>
      <w:r>
        <w:rPr>
          <w:b/>
        </w:rPr>
        <w:t xml:space="preserve">Goal. </w:t>
      </w:r>
      <w:r>
        <w:t>Create a source strategy for studying Jewish thought, history, community formation, scripture, interpretation, and late antique religious environment before Islam. The purpose is not to prove Islam from Judaism or reduce Qur'anic material to external sources. The purpose is to understand the religious and intellectual world that existed before the Qur'an, then link relevant themes into k-maps with clean source-distance labels.</w:t>
      </w:r>
    </w:p>
    <w:p>
      <w:pPr>
        <w:pStyle w:val="ListBullet"/>
        <w:spacing w:after="40"/>
      </w:pPr>
      <w:r>
        <w:rPr>
          <w:sz w:val="19"/>
        </w:rPr>
        <w:t>Primary location: km_worldview → Islamic Studies General → Pre-Islamic Jewish Sources &amp; History.</w:t>
      </w:r>
    </w:p>
    <w:p>
      <w:pPr>
        <w:pStyle w:val="ListBullet"/>
        <w:spacing w:after="40"/>
      </w:pPr>
      <w:r>
        <w:rPr>
          <w:sz w:val="19"/>
        </w:rPr>
        <w:t>Secondary links: Qur'an-related themes, prophetic episodes, covenant frameworks, revelation models, moral norms, and historical events may link to km_quran via references only.</w:t>
      </w:r>
    </w:p>
    <w:p>
      <w:pPr>
        <w:pStyle w:val="ListBullet"/>
        <w:spacing w:after="40"/>
      </w:pPr>
      <w:r>
        <w:rPr>
          <w:sz w:val="19"/>
        </w:rPr>
        <w:t>Method: separate earliest artifacts, textual witnesses, redacted rabbinic corpora, external sources, and modern reconstructions. Do not flatten all sources into one authority level.</w:t>
      </w:r>
    </w:p>
    <w:p>
      <w:pPr>
        <w:pStyle w:val="ListBullet"/>
        <w:spacing w:after="40"/>
      </w:pPr>
      <w:r>
        <w:rPr>
          <w:sz w:val="19"/>
        </w:rPr>
        <w:t>Outcome: a timeline + source library + worldview matrix showing how Jewish community priorities evolved before Islam: covenant, law, temple, exile, wisdom, apocalyptic expectation, rabbinic authority, diaspora life, and Arabia-specific Jewish presence.</w:t>
      </w:r>
    </w:p>
    <w:p>
      <w:pPr>
        <w:pStyle w:val="Heading1"/>
      </w:pPr>
      <w:r>
        <w:t>2. Scope and Historical Periods</w:t>
      </w:r>
    </w:p>
    <w:p>
      <w:r>
        <w:t>This module should cover the historical development of Jewish thought and community before the rise of Islam. It should not become a general modern Jewish studies encyclopedia. The focus is what helps Islamic Studies General understand the pre-Qur'anic Abrahamic environment.</w:t>
      </w:r>
    </w:p>
    <w:tbl>
      <w:tblPr>
        <w:tblStyle w:val="TableGrid"/>
        <w:tblW w:type="auto" w:w="0"/>
        <w:jc w:val="center"/>
        <w:tblLayout w:type="autofit"/>
        <w:tblLook w:firstColumn="1" w:firstRow="1" w:lastColumn="0" w:lastRow="0" w:noHBand="0" w:noVBand="1" w:val="04A0"/>
      </w:tblPr>
      <w:tblGrid>
        <w:gridCol w:w="3552"/>
        <w:gridCol w:w="3552"/>
        <w:gridCol w:w="3552"/>
      </w:tblGrid>
      <w:tr>
        <w:tc>
          <w:tcPr>
            <w:tcW w:type="dxa" w:w="2160"/>
            <w:shd w:fill="1F4E79"/>
          </w:tcPr>
          <w:p>
            <w:pPr>
              <w:jc w:val="left"/>
            </w:pPr>
            <w:r/>
            <w:r>
              <w:rPr>
                <w:rFonts w:ascii="Arial" w:hAnsi="Arial"/>
                <w:b/>
                <w:color w:val="FFFFFF"/>
                <w:sz w:val="16"/>
              </w:rPr>
              <w:t>Period</w:t>
            </w:r>
          </w:p>
        </w:tc>
        <w:tc>
          <w:tcPr>
            <w:tcW w:type="dxa" w:w="1584"/>
            <w:shd w:fill="1F4E79"/>
          </w:tcPr>
          <w:p>
            <w:pPr>
              <w:jc w:val="left"/>
            </w:pPr>
            <w:r/>
            <w:r>
              <w:rPr>
                <w:rFonts w:ascii="Arial" w:hAnsi="Arial"/>
                <w:b/>
                <w:color w:val="FFFFFF"/>
                <w:sz w:val="16"/>
              </w:rPr>
              <w:t>Approx. range</w:t>
            </w:r>
          </w:p>
        </w:tc>
        <w:tc>
          <w:tcPr>
            <w:tcW w:type="dxa" w:w="6912"/>
            <w:shd w:fill="1F4E79"/>
          </w:tcPr>
          <w:p>
            <w:pPr>
              <w:jc w:val="left"/>
            </w:pPr>
            <w:r/>
            <w:r>
              <w:rPr>
                <w:rFonts w:ascii="Arial" w:hAnsi="Arial"/>
                <w:b/>
                <w:color w:val="FFFFFF"/>
                <w:sz w:val="16"/>
              </w:rPr>
              <w:t>Why it matters</w:t>
            </w:r>
          </w:p>
        </w:tc>
      </w:tr>
      <w:tr>
        <w:tc>
          <w:tcPr>
            <w:tcW w:type="dxa" w:w="2160"/>
            <w:vAlign w:val="top"/>
          </w:tcPr>
          <w:p>
            <w:pPr>
              <w:jc w:val="left"/>
            </w:pPr>
            <w:r/>
            <w:r>
              <w:rPr>
                <w:rFonts w:ascii="Arial" w:hAnsi="Arial"/>
                <w:b w:val="0"/>
                <w:sz w:val="16"/>
              </w:rPr>
              <w:t>Early Israel / Iron Age</w:t>
            </w:r>
          </w:p>
        </w:tc>
        <w:tc>
          <w:tcPr>
            <w:tcW w:type="dxa" w:w="1584"/>
            <w:vAlign w:val="top"/>
          </w:tcPr>
          <w:p>
            <w:pPr>
              <w:jc w:val="left"/>
            </w:pPr>
            <w:r/>
            <w:r>
              <w:rPr>
                <w:rFonts w:ascii="Arial" w:hAnsi="Arial"/>
                <w:b w:val="0"/>
                <w:sz w:val="16"/>
              </w:rPr>
              <w:t>c. 1200–586 BCE</w:t>
            </w:r>
          </w:p>
        </w:tc>
        <w:tc>
          <w:tcPr>
            <w:tcW w:type="dxa" w:w="6912"/>
            <w:vAlign w:val="top"/>
          </w:tcPr>
          <w:p>
            <w:pPr>
              <w:jc w:val="left"/>
            </w:pPr>
            <w:r/>
            <w:r>
              <w:rPr>
                <w:rFonts w:ascii="Arial" w:hAnsi="Arial"/>
                <w:b w:val="0"/>
                <w:sz w:val="16"/>
              </w:rPr>
              <w:t>Israelite religion, monarchy, temple, covenant identity, prophetic critique, inscriptions and archaeology.</w:t>
            </w:r>
          </w:p>
        </w:tc>
      </w:tr>
      <w:tr>
        <w:tc>
          <w:tcPr>
            <w:tcW w:type="dxa" w:w="2160"/>
            <w:vAlign w:val="top"/>
          </w:tcPr>
          <w:p>
            <w:pPr>
              <w:jc w:val="left"/>
            </w:pPr>
            <w:r/>
            <w:r>
              <w:rPr>
                <w:rFonts w:ascii="Arial" w:hAnsi="Arial"/>
                <w:b w:val="0"/>
                <w:sz w:val="16"/>
              </w:rPr>
              <w:t>Exile and Persian period</w:t>
            </w:r>
          </w:p>
        </w:tc>
        <w:tc>
          <w:tcPr>
            <w:tcW w:type="dxa" w:w="1584"/>
            <w:vAlign w:val="top"/>
          </w:tcPr>
          <w:p>
            <w:pPr>
              <w:jc w:val="left"/>
            </w:pPr>
            <w:r/>
            <w:r>
              <w:rPr>
                <w:rFonts w:ascii="Arial" w:hAnsi="Arial"/>
                <w:b w:val="0"/>
                <w:sz w:val="16"/>
              </w:rPr>
              <w:t>586–332 BCE</w:t>
            </w:r>
          </w:p>
        </w:tc>
        <w:tc>
          <w:tcPr>
            <w:tcW w:type="dxa" w:w="6912"/>
            <w:vAlign w:val="top"/>
          </w:tcPr>
          <w:p>
            <w:pPr>
              <w:jc w:val="left"/>
            </w:pPr>
            <w:r/>
            <w:r>
              <w:rPr>
                <w:rFonts w:ascii="Arial" w:hAnsi="Arial"/>
                <w:b w:val="0"/>
                <w:sz w:val="16"/>
              </w:rPr>
              <w:t>Exile, return, Torah-centered identity, diaspora beginnings, scribal authority, restoration memory.</w:t>
            </w:r>
          </w:p>
        </w:tc>
      </w:tr>
      <w:tr>
        <w:tc>
          <w:tcPr>
            <w:tcW w:type="dxa" w:w="2160"/>
            <w:vAlign w:val="top"/>
          </w:tcPr>
          <w:p>
            <w:pPr>
              <w:jc w:val="left"/>
            </w:pPr>
            <w:r/>
            <w:r>
              <w:rPr>
                <w:rFonts w:ascii="Arial" w:hAnsi="Arial"/>
                <w:b w:val="0"/>
                <w:sz w:val="16"/>
              </w:rPr>
              <w:t>Hellenistic Judaism</w:t>
            </w:r>
          </w:p>
        </w:tc>
        <w:tc>
          <w:tcPr>
            <w:tcW w:type="dxa" w:w="1584"/>
            <w:vAlign w:val="top"/>
          </w:tcPr>
          <w:p>
            <w:pPr>
              <w:jc w:val="left"/>
            </w:pPr>
            <w:r/>
            <w:r>
              <w:rPr>
                <w:rFonts w:ascii="Arial" w:hAnsi="Arial"/>
                <w:b w:val="0"/>
                <w:sz w:val="16"/>
              </w:rPr>
              <w:t>332–63 BCE</w:t>
            </w:r>
          </w:p>
        </w:tc>
        <w:tc>
          <w:tcPr>
            <w:tcW w:type="dxa" w:w="6912"/>
            <w:vAlign w:val="top"/>
          </w:tcPr>
          <w:p>
            <w:pPr>
              <w:jc w:val="left"/>
            </w:pPr>
            <w:r/>
            <w:r>
              <w:rPr>
                <w:rFonts w:ascii="Arial" w:hAnsi="Arial"/>
                <w:b w:val="0"/>
                <w:sz w:val="16"/>
              </w:rPr>
              <w:t>Greek translation, diaspora thought, Maccabean crisis, wisdom literature, apocalyptic imagination.</w:t>
            </w:r>
          </w:p>
        </w:tc>
      </w:tr>
      <w:tr>
        <w:tc>
          <w:tcPr>
            <w:tcW w:type="dxa" w:w="2160"/>
            <w:vAlign w:val="top"/>
          </w:tcPr>
          <w:p>
            <w:pPr>
              <w:jc w:val="left"/>
            </w:pPr>
            <w:r/>
            <w:r>
              <w:rPr>
                <w:rFonts w:ascii="Arial" w:hAnsi="Arial"/>
                <w:b w:val="0"/>
                <w:sz w:val="16"/>
              </w:rPr>
              <w:t>Roman / Second Temple climax</w:t>
            </w:r>
          </w:p>
        </w:tc>
        <w:tc>
          <w:tcPr>
            <w:tcW w:type="dxa" w:w="1584"/>
            <w:vAlign w:val="top"/>
          </w:tcPr>
          <w:p>
            <w:pPr>
              <w:jc w:val="left"/>
            </w:pPr>
            <w:r/>
            <w:r>
              <w:rPr>
                <w:rFonts w:ascii="Arial" w:hAnsi="Arial"/>
                <w:b w:val="0"/>
                <w:sz w:val="16"/>
              </w:rPr>
              <w:t>63 BCE–70 CE</w:t>
            </w:r>
          </w:p>
        </w:tc>
        <w:tc>
          <w:tcPr>
            <w:tcW w:type="dxa" w:w="6912"/>
            <w:vAlign w:val="top"/>
          </w:tcPr>
          <w:p>
            <w:pPr>
              <w:jc w:val="left"/>
            </w:pPr>
            <w:r/>
            <w:r>
              <w:rPr>
                <w:rFonts w:ascii="Arial" w:hAnsi="Arial"/>
                <w:b w:val="0"/>
                <w:sz w:val="16"/>
              </w:rPr>
              <w:t>Temple politics, sectarian communities, Pharisees/Sadducees/Essenes, Jesus-era Jewish environment, Josephus, Qumran.</w:t>
            </w:r>
          </w:p>
        </w:tc>
      </w:tr>
      <w:tr>
        <w:tc>
          <w:tcPr>
            <w:tcW w:type="dxa" w:w="2160"/>
            <w:vAlign w:val="top"/>
          </w:tcPr>
          <w:p>
            <w:pPr>
              <w:jc w:val="left"/>
            </w:pPr>
            <w:r/>
            <w:r>
              <w:rPr>
                <w:rFonts w:ascii="Arial" w:hAnsi="Arial"/>
                <w:b w:val="0"/>
                <w:sz w:val="16"/>
              </w:rPr>
              <w:t>Post-Temple / Tannaitic</w:t>
            </w:r>
          </w:p>
        </w:tc>
        <w:tc>
          <w:tcPr>
            <w:tcW w:type="dxa" w:w="1584"/>
            <w:vAlign w:val="top"/>
          </w:tcPr>
          <w:p>
            <w:pPr>
              <w:jc w:val="left"/>
            </w:pPr>
            <w:r/>
            <w:r>
              <w:rPr>
                <w:rFonts w:ascii="Arial" w:hAnsi="Arial"/>
                <w:b w:val="0"/>
                <w:sz w:val="16"/>
              </w:rPr>
              <w:t>70–220 CE</w:t>
            </w:r>
          </w:p>
        </w:tc>
        <w:tc>
          <w:tcPr>
            <w:tcW w:type="dxa" w:w="6912"/>
            <w:vAlign w:val="top"/>
          </w:tcPr>
          <w:p>
            <w:pPr>
              <w:jc w:val="left"/>
            </w:pPr>
            <w:r/>
            <w:r>
              <w:rPr>
                <w:rFonts w:ascii="Arial" w:hAnsi="Arial"/>
                <w:b w:val="0"/>
                <w:sz w:val="16"/>
              </w:rPr>
              <w:t>Temple destroyed, rabbinic reconstitution, Mishnah, prayer/synagogue/law as community glue.</w:t>
            </w:r>
          </w:p>
        </w:tc>
      </w:tr>
      <w:tr>
        <w:tc>
          <w:tcPr>
            <w:tcW w:type="dxa" w:w="2160"/>
            <w:vAlign w:val="top"/>
          </w:tcPr>
          <w:p>
            <w:pPr>
              <w:jc w:val="left"/>
            </w:pPr>
            <w:r/>
            <w:r>
              <w:rPr>
                <w:rFonts w:ascii="Arial" w:hAnsi="Arial"/>
                <w:b w:val="0"/>
                <w:sz w:val="16"/>
              </w:rPr>
              <w:t>Amoraic / Late Antique</w:t>
            </w:r>
          </w:p>
        </w:tc>
        <w:tc>
          <w:tcPr>
            <w:tcW w:type="dxa" w:w="1584"/>
            <w:vAlign w:val="top"/>
          </w:tcPr>
          <w:p>
            <w:pPr>
              <w:jc w:val="left"/>
            </w:pPr>
            <w:r/>
            <w:r>
              <w:rPr>
                <w:rFonts w:ascii="Arial" w:hAnsi="Arial"/>
                <w:b w:val="0"/>
                <w:sz w:val="16"/>
              </w:rPr>
              <w:t>220–600 CE</w:t>
            </w:r>
          </w:p>
        </w:tc>
        <w:tc>
          <w:tcPr>
            <w:tcW w:type="dxa" w:w="6912"/>
            <w:vAlign w:val="top"/>
          </w:tcPr>
          <w:p>
            <w:pPr>
              <w:jc w:val="left"/>
            </w:pPr>
            <w:r/>
            <w:r>
              <w:rPr>
                <w:rFonts w:ascii="Arial" w:hAnsi="Arial"/>
                <w:b w:val="0"/>
                <w:sz w:val="16"/>
              </w:rPr>
              <w:t>Palestinian and Babylonian rabbinic academies, Talmuds, midrash, liturgy, polemics, diaspora networks.</w:t>
            </w:r>
          </w:p>
        </w:tc>
      </w:tr>
      <w:tr>
        <w:tc>
          <w:tcPr>
            <w:tcW w:type="dxa" w:w="2160"/>
            <w:vAlign w:val="top"/>
          </w:tcPr>
          <w:p>
            <w:pPr>
              <w:jc w:val="left"/>
            </w:pPr>
            <w:r/>
            <w:r>
              <w:rPr>
                <w:rFonts w:ascii="Arial" w:hAnsi="Arial"/>
                <w:b w:val="0"/>
                <w:sz w:val="16"/>
              </w:rPr>
              <w:t>Arabian Jewish contexts</w:t>
            </w:r>
          </w:p>
        </w:tc>
        <w:tc>
          <w:tcPr>
            <w:tcW w:type="dxa" w:w="1584"/>
            <w:vAlign w:val="top"/>
          </w:tcPr>
          <w:p>
            <w:pPr>
              <w:jc w:val="left"/>
            </w:pPr>
            <w:r/>
            <w:r>
              <w:rPr>
                <w:rFonts w:ascii="Arial" w:hAnsi="Arial"/>
                <w:b w:val="0"/>
                <w:sz w:val="16"/>
              </w:rPr>
              <w:t>4th–6th c. CE especially</w:t>
            </w:r>
          </w:p>
        </w:tc>
        <w:tc>
          <w:tcPr>
            <w:tcW w:type="dxa" w:w="6912"/>
            <w:vAlign w:val="top"/>
          </w:tcPr>
          <w:p>
            <w:pPr>
              <w:jc w:val="left"/>
            </w:pPr>
            <w:r/>
            <w:r>
              <w:rPr>
                <w:rFonts w:ascii="Arial" w:hAnsi="Arial"/>
                <w:b w:val="0"/>
                <w:sz w:val="16"/>
              </w:rPr>
              <w:t>Ḥimyar/Yemen, Yathrib/Khaybar memory, inscriptions, late antique monotheism, Christian-Jewish conflict in Arabia.</w:t>
            </w:r>
          </w:p>
        </w:tc>
      </w:tr>
    </w:tbl>
    <w:p>
      <w:pPr>
        <w:pStyle w:val="Heading1"/>
      </w:pPr>
      <w:r>
        <w:t>3. What “Earliest” Means for Jewish Sources</w:t>
      </w:r>
    </w:p>
    <w:p>
      <w:r>
        <w:t>For k-maps, “earliest” should be operational, not simplistic. A source can be early in physical manuscript date, early in tradition memory, early in redaction, or early in archaeology. These are different kinds of evidence.</w:t>
      </w:r>
    </w:p>
    <w:tbl>
      <w:tblPr>
        <w:tblStyle w:val="TableGrid"/>
        <w:tblW w:type="auto" w:w="0"/>
        <w:jc w:val="center"/>
        <w:tblLayout w:type="autofit"/>
        <w:tblLook w:firstColumn="1" w:firstRow="1" w:lastColumn="0" w:lastRow="0" w:noHBand="0" w:noVBand="1" w:val="04A0"/>
      </w:tblPr>
      <w:tblGrid>
        <w:gridCol w:w="3552"/>
        <w:gridCol w:w="3552"/>
        <w:gridCol w:w="3552"/>
      </w:tblGrid>
      <w:tr>
        <w:tc>
          <w:tcPr>
            <w:tcW w:type="dxa" w:w="2448"/>
            <w:shd w:fill="1F4E79"/>
          </w:tcPr>
          <w:p>
            <w:pPr>
              <w:jc w:val="left"/>
            </w:pPr>
            <w:r/>
            <w:r>
              <w:rPr>
                <w:rFonts w:ascii="Arial" w:hAnsi="Arial"/>
                <w:b/>
                <w:color w:val="FFFFFF"/>
                <w:sz w:val="16"/>
              </w:rPr>
              <w:t>Evidence type</w:t>
            </w:r>
          </w:p>
        </w:tc>
        <w:tc>
          <w:tcPr>
            <w:tcW w:type="dxa" w:w="3312"/>
            <w:shd w:fill="1F4E79"/>
          </w:tcPr>
          <w:p>
            <w:pPr>
              <w:jc w:val="left"/>
            </w:pPr>
            <w:r/>
            <w:r>
              <w:rPr>
                <w:rFonts w:ascii="Arial" w:hAnsi="Arial"/>
                <w:b/>
                <w:color w:val="FFFFFF"/>
                <w:sz w:val="16"/>
              </w:rPr>
              <w:t>Meaning</w:t>
            </w:r>
          </w:p>
        </w:tc>
        <w:tc>
          <w:tcPr>
            <w:tcW w:type="dxa" w:w="4896"/>
            <w:shd w:fill="1F4E79"/>
          </w:tcPr>
          <w:p>
            <w:pPr>
              <w:jc w:val="left"/>
            </w:pPr>
            <w:r/>
            <w:r>
              <w:rPr>
                <w:rFonts w:ascii="Arial" w:hAnsi="Arial"/>
                <w:b/>
                <w:color w:val="FFFFFF"/>
                <w:sz w:val="16"/>
              </w:rPr>
              <w:t>Examples</w:t>
            </w:r>
          </w:p>
        </w:tc>
      </w:tr>
      <w:tr>
        <w:tc>
          <w:tcPr>
            <w:tcW w:type="dxa" w:w="2448"/>
            <w:vAlign w:val="top"/>
          </w:tcPr>
          <w:p>
            <w:pPr>
              <w:jc w:val="left"/>
            </w:pPr>
            <w:r/>
            <w:r>
              <w:rPr>
                <w:rFonts w:ascii="Arial" w:hAnsi="Arial"/>
                <w:b w:val="0"/>
                <w:sz w:val="16"/>
              </w:rPr>
              <w:t>Archaeological / inscriptional</w:t>
            </w:r>
          </w:p>
        </w:tc>
        <w:tc>
          <w:tcPr>
            <w:tcW w:type="dxa" w:w="3312"/>
            <w:vAlign w:val="top"/>
          </w:tcPr>
          <w:p>
            <w:pPr>
              <w:jc w:val="left"/>
            </w:pPr>
            <w:r/>
            <w:r>
              <w:rPr>
                <w:rFonts w:ascii="Arial" w:hAnsi="Arial"/>
                <w:b w:val="0"/>
                <w:sz w:val="16"/>
              </w:rPr>
              <w:t>Material evidence close to the period; often fragmentary but historically strong.</w:t>
            </w:r>
          </w:p>
        </w:tc>
        <w:tc>
          <w:tcPr>
            <w:tcW w:type="dxa" w:w="4896"/>
            <w:vAlign w:val="top"/>
          </w:tcPr>
          <w:p>
            <w:pPr>
              <w:jc w:val="left"/>
            </w:pPr>
            <w:r/>
            <w:r>
              <w:rPr>
                <w:rFonts w:ascii="Arial" w:hAnsi="Arial"/>
                <w:b w:val="0"/>
                <w:sz w:val="16"/>
              </w:rPr>
              <w:t>Ketef Hinnom amulets, Elephantine papyri, Siloam inscription, Tel Dan stele, coins, synagogue inscriptions.</w:t>
            </w:r>
          </w:p>
        </w:tc>
      </w:tr>
      <w:tr>
        <w:tc>
          <w:tcPr>
            <w:tcW w:type="dxa" w:w="2448"/>
            <w:vAlign w:val="top"/>
          </w:tcPr>
          <w:p>
            <w:pPr>
              <w:jc w:val="left"/>
            </w:pPr>
            <w:r/>
            <w:r>
              <w:rPr>
                <w:rFonts w:ascii="Arial" w:hAnsi="Arial"/>
                <w:b w:val="0"/>
                <w:sz w:val="16"/>
              </w:rPr>
              <w:t>Textual manuscript witness</w:t>
            </w:r>
          </w:p>
        </w:tc>
        <w:tc>
          <w:tcPr>
            <w:tcW w:type="dxa" w:w="3312"/>
            <w:vAlign w:val="top"/>
          </w:tcPr>
          <w:p>
            <w:pPr>
              <w:jc w:val="left"/>
            </w:pPr>
            <w:r/>
            <w:r>
              <w:rPr>
                <w:rFonts w:ascii="Arial" w:hAnsi="Arial"/>
                <w:b w:val="0"/>
                <w:sz w:val="16"/>
              </w:rPr>
              <w:t>Old physical manuscripts; may preserve older compositions.</w:t>
            </w:r>
          </w:p>
        </w:tc>
        <w:tc>
          <w:tcPr>
            <w:tcW w:type="dxa" w:w="4896"/>
            <w:vAlign w:val="top"/>
          </w:tcPr>
          <w:p>
            <w:pPr>
              <w:jc w:val="left"/>
            </w:pPr>
            <w:r/>
            <w:r>
              <w:rPr>
                <w:rFonts w:ascii="Arial" w:hAnsi="Arial"/>
                <w:b w:val="0"/>
                <w:sz w:val="16"/>
              </w:rPr>
              <w:t>Dead Sea Scrolls, early Septuagint manuscripts, papyri/fragments.</w:t>
            </w:r>
          </w:p>
        </w:tc>
      </w:tr>
      <w:tr>
        <w:tc>
          <w:tcPr>
            <w:tcW w:type="dxa" w:w="2448"/>
            <w:vAlign w:val="top"/>
          </w:tcPr>
          <w:p>
            <w:pPr>
              <w:jc w:val="left"/>
            </w:pPr>
            <w:r/>
            <w:r>
              <w:rPr>
                <w:rFonts w:ascii="Arial" w:hAnsi="Arial"/>
                <w:b w:val="0"/>
                <w:sz w:val="16"/>
              </w:rPr>
              <w:t>Compositional stratum</w:t>
            </w:r>
          </w:p>
        </w:tc>
        <w:tc>
          <w:tcPr>
            <w:tcW w:type="dxa" w:w="3312"/>
            <w:vAlign w:val="top"/>
          </w:tcPr>
          <w:p>
            <w:pPr>
              <w:jc w:val="left"/>
            </w:pPr>
            <w:r/>
            <w:r>
              <w:rPr>
                <w:rFonts w:ascii="Arial" w:hAnsi="Arial"/>
                <w:b w:val="0"/>
                <w:sz w:val="16"/>
              </w:rPr>
              <w:t>A text may preserve earlier tradition but be edited later.</w:t>
            </w:r>
          </w:p>
        </w:tc>
        <w:tc>
          <w:tcPr>
            <w:tcW w:type="dxa" w:w="4896"/>
            <w:vAlign w:val="top"/>
          </w:tcPr>
          <w:p>
            <w:pPr>
              <w:jc w:val="left"/>
            </w:pPr>
            <w:r/>
            <w:r>
              <w:rPr>
                <w:rFonts w:ascii="Arial" w:hAnsi="Arial"/>
                <w:b w:val="0"/>
                <w:sz w:val="16"/>
              </w:rPr>
              <w:t>Torah/Prophets/Writings, apocalyptic works, wisdom literature.</w:t>
            </w:r>
          </w:p>
        </w:tc>
      </w:tr>
      <w:tr>
        <w:tc>
          <w:tcPr>
            <w:tcW w:type="dxa" w:w="2448"/>
            <w:vAlign w:val="top"/>
          </w:tcPr>
          <w:p>
            <w:pPr>
              <w:jc w:val="left"/>
            </w:pPr>
            <w:r/>
            <w:r>
              <w:rPr>
                <w:rFonts w:ascii="Arial" w:hAnsi="Arial"/>
                <w:b w:val="0"/>
                <w:sz w:val="16"/>
              </w:rPr>
              <w:t>Redacted community memory</w:t>
            </w:r>
          </w:p>
        </w:tc>
        <w:tc>
          <w:tcPr>
            <w:tcW w:type="dxa" w:w="3312"/>
            <w:vAlign w:val="top"/>
          </w:tcPr>
          <w:p>
            <w:pPr>
              <w:jc w:val="left"/>
            </w:pPr>
            <w:r/>
            <w:r>
              <w:rPr>
                <w:rFonts w:ascii="Arial" w:hAnsi="Arial"/>
                <w:b w:val="0"/>
                <w:sz w:val="16"/>
              </w:rPr>
              <w:t>Later compilation preserving earlier debates and habits.</w:t>
            </w:r>
          </w:p>
        </w:tc>
        <w:tc>
          <w:tcPr>
            <w:tcW w:type="dxa" w:w="4896"/>
            <w:vAlign w:val="top"/>
          </w:tcPr>
          <w:p>
            <w:pPr>
              <w:jc w:val="left"/>
            </w:pPr>
            <w:r/>
            <w:r>
              <w:rPr>
                <w:rFonts w:ascii="Arial" w:hAnsi="Arial"/>
                <w:b w:val="0"/>
                <w:sz w:val="16"/>
              </w:rPr>
              <w:t>Mishnah, Tosefta, Talmuds, midrashim.</w:t>
            </w:r>
          </w:p>
        </w:tc>
      </w:tr>
      <w:tr>
        <w:tc>
          <w:tcPr>
            <w:tcW w:type="dxa" w:w="2448"/>
            <w:vAlign w:val="top"/>
          </w:tcPr>
          <w:p>
            <w:pPr>
              <w:jc w:val="left"/>
            </w:pPr>
            <w:r/>
            <w:r>
              <w:rPr>
                <w:rFonts w:ascii="Arial" w:hAnsi="Arial"/>
                <w:b w:val="0"/>
                <w:sz w:val="16"/>
              </w:rPr>
              <w:t>External witness</w:t>
            </w:r>
          </w:p>
        </w:tc>
        <w:tc>
          <w:tcPr>
            <w:tcW w:type="dxa" w:w="3312"/>
            <w:vAlign w:val="top"/>
          </w:tcPr>
          <w:p>
            <w:pPr>
              <w:jc w:val="left"/>
            </w:pPr>
            <w:r/>
            <w:r>
              <w:rPr>
                <w:rFonts w:ascii="Arial" w:hAnsi="Arial"/>
                <w:b w:val="0"/>
                <w:sz w:val="16"/>
              </w:rPr>
              <w:t>Non-Jewish or outsider reports; useful but biased.</w:t>
            </w:r>
          </w:p>
        </w:tc>
        <w:tc>
          <w:tcPr>
            <w:tcW w:type="dxa" w:w="4896"/>
            <w:vAlign w:val="top"/>
          </w:tcPr>
          <w:p>
            <w:pPr>
              <w:jc w:val="left"/>
            </w:pPr>
            <w:r/>
            <w:r>
              <w:rPr>
                <w:rFonts w:ascii="Arial" w:hAnsi="Arial"/>
                <w:b w:val="0"/>
                <w:sz w:val="16"/>
              </w:rPr>
              <w:t>Greek/Roman writers, Christian Syriac sources, Islamic sīrah reports about Arabian Jews.</w:t>
            </w:r>
          </w:p>
        </w:tc>
      </w:tr>
      <w:tr>
        <w:tc>
          <w:tcPr>
            <w:tcW w:type="dxa" w:w="2448"/>
            <w:vAlign w:val="top"/>
          </w:tcPr>
          <w:p>
            <w:pPr>
              <w:jc w:val="left"/>
            </w:pPr>
            <w:r/>
            <w:r>
              <w:rPr>
                <w:rFonts w:ascii="Arial" w:hAnsi="Arial"/>
                <w:b w:val="0"/>
                <w:sz w:val="16"/>
              </w:rPr>
              <w:t>Modern reconstruction</w:t>
            </w:r>
          </w:p>
        </w:tc>
        <w:tc>
          <w:tcPr>
            <w:tcW w:type="dxa" w:w="3312"/>
            <w:vAlign w:val="top"/>
          </w:tcPr>
          <w:p>
            <w:pPr>
              <w:jc w:val="left"/>
            </w:pPr>
            <w:r/>
            <w:r>
              <w:rPr>
                <w:rFonts w:ascii="Arial" w:hAnsi="Arial"/>
                <w:b w:val="0"/>
                <w:sz w:val="16"/>
              </w:rPr>
              <w:t>Scholarly synthesis; useful for ordering evidence but never primary evidence.</w:t>
            </w:r>
          </w:p>
        </w:tc>
        <w:tc>
          <w:tcPr>
            <w:tcW w:type="dxa" w:w="4896"/>
            <w:vAlign w:val="top"/>
          </w:tcPr>
          <w:p>
            <w:pPr>
              <w:jc w:val="left"/>
            </w:pPr>
            <w:r/>
            <w:r>
              <w:rPr>
                <w:rFonts w:ascii="Arial" w:hAnsi="Arial"/>
                <w:b w:val="0"/>
                <w:sz w:val="16"/>
              </w:rPr>
              <w:t>Cohen, Goodman, Schwartz, Robin, Lecker, Newby, Hoyland, Neuwirth, Sinai.</w:t>
            </w:r>
          </w:p>
        </w:tc>
      </w:tr>
    </w:tbl>
    <w:p>
      <w:pPr>
        <w:pStyle w:val="Heading1"/>
      </w:pPr>
      <w:r>
        <w:t>4. Priority Source Hierarchy</w:t>
      </w:r>
    </w:p>
    <w:p>
      <w:r>
        <w:t>Use this hierarchy during ingestion and citation. The same event or idea should be represented with source-distance metadata so a user can see whether the claim rests on an inscription, a Second Temple text, a rabbinic redaction, a late external report, or modern analysis.</w:t>
      </w:r>
    </w:p>
    <w:tbl>
      <w:tblPr>
        <w:tblStyle w:val="TableGrid"/>
        <w:tblW w:type="auto" w:w="0"/>
        <w:jc w:val="center"/>
        <w:tblLayout w:type="autofit"/>
        <w:tblLook w:firstColumn="1" w:firstRow="1" w:lastColumn="0" w:lastRow="0" w:noHBand="0" w:noVBand="1" w:val="04A0"/>
      </w:tblPr>
      <w:tblGrid>
        <w:gridCol w:w="3552"/>
        <w:gridCol w:w="3552"/>
        <w:gridCol w:w="3552"/>
      </w:tblGrid>
      <w:tr>
        <w:tc>
          <w:tcPr>
            <w:tcW w:type="dxa" w:w="936"/>
            <w:shd w:fill="1F4E79"/>
          </w:tcPr>
          <w:p>
            <w:pPr>
              <w:jc w:val="left"/>
            </w:pPr>
            <w:r/>
            <w:r>
              <w:rPr>
                <w:rFonts w:ascii="Arial" w:hAnsi="Arial"/>
                <w:b/>
                <w:color w:val="FFFFFF"/>
                <w:sz w:val="16"/>
              </w:rPr>
              <w:t>Tier</w:t>
            </w:r>
          </w:p>
        </w:tc>
        <w:tc>
          <w:tcPr>
            <w:tcW w:type="dxa" w:w="3240"/>
            <w:shd w:fill="1F4E79"/>
          </w:tcPr>
          <w:p>
            <w:pPr>
              <w:jc w:val="left"/>
            </w:pPr>
            <w:r/>
            <w:r>
              <w:rPr>
                <w:rFonts w:ascii="Arial" w:hAnsi="Arial"/>
                <w:b/>
                <w:color w:val="FFFFFF"/>
                <w:sz w:val="16"/>
              </w:rPr>
              <w:t>Source family</w:t>
            </w:r>
          </w:p>
        </w:tc>
        <w:tc>
          <w:tcPr>
            <w:tcW w:type="dxa" w:w="6480"/>
            <w:shd w:fill="1F4E79"/>
          </w:tcPr>
          <w:p>
            <w:pPr>
              <w:jc w:val="left"/>
            </w:pPr>
            <w:r/>
            <w:r>
              <w:rPr>
                <w:rFonts w:ascii="Arial" w:hAnsi="Arial"/>
                <w:b/>
                <w:color w:val="FFFFFF"/>
                <w:sz w:val="16"/>
              </w:rPr>
              <w:t>Use rule</w:t>
            </w:r>
          </w:p>
        </w:tc>
      </w:tr>
      <w:tr>
        <w:tc>
          <w:tcPr>
            <w:tcW w:type="dxa" w:w="936"/>
            <w:vAlign w:val="top"/>
          </w:tcPr>
          <w:p>
            <w:pPr>
              <w:jc w:val="left"/>
            </w:pPr>
            <w:r/>
            <w:r>
              <w:rPr>
                <w:rFonts w:ascii="Arial" w:hAnsi="Arial"/>
                <w:b w:val="0"/>
                <w:sz w:val="16"/>
              </w:rPr>
              <w:t>Tier 0</w:t>
            </w:r>
          </w:p>
        </w:tc>
        <w:tc>
          <w:tcPr>
            <w:tcW w:type="dxa" w:w="3240"/>
            <w:vAlign w:val="top"/>
          </w:tcPr>
          <w:p>
            <w:pPr>
              <w:jc w:val="left"/>
            </w:pPr>
            <w:r/>
            <w:r>
              <w:rPr>
                <w:rFonts w:ascii="Arial" w:hAnsi="Arial"/>
                <w:b w:val="0"/>
                <w:sz w:val="16"/>
              </w:rPr>
              <w:t>Artifacts, inscriptions, papyri</w:t>
            </w:r>
          </w:p>
        </w:tc>
        <w:tc>
          <w:tcPr>
            <w:tcW w:type="dxa" w:w="6480"/>
            <w:vAlign w:val="top"/>
          </w:tcPr>
          <w:p>
            <w:pPr>
              <w:jc w:val="left"/>
            </w:pPr>
            <w:r/>
            <w:r>
              <w:rPr>
                <w:rFonts w:ascii="Arial" w:hAnsi="Arial"/>
                <w:b w:val="0"/>
                <w:sz w:val="16"/>
              </w:rPr>
              <w:t>Highest historical control for existence, names, cultic language, communities, and dates; limited for theology.</w:t>
            </w:r>
          </w:p>
        </w:tc>
      </w:tr>
      <w:tr>
        <w:tc>
          <w:tcPr>
            <w:tcW w:type="dxa" w:w="936"/>
            <w:vAlign w:val="top"/>
          </w:tcPr>
          <w:p>
            <w:pPr>
              <w:jc w:val="left"/>
            </w:pPr>
            <w:r/>
            <w:r>
              <w:rPr>
                <w:rFonts w:ascii="Arial" w:hAnsi="Arial"/>
                <w:b w:val="0"/>
                <w:sz w:val="16"/>
              </w:rPr>
              <w:t>Tier 1</w:t>
            </w:r>
          </w:p>
        </w:tc>
        <w:tc>
          <w:tcPr>
            <w:tcW w:type="dxa" w:w="3240"/>
            <w:vAlign w:val="top"/>
          </w:tcPr>
          <w:p>
            <w:pPr>
              <w:jc w:val="left"/>
            </w:pPr>
            <w:r/>
            <w:r>
              <w:rPr>
                <w:rFonts w:ascii="Arial" w:hAnsi="Arial"/>
                <w:b w:val="0"/>
                <w:sz w:val="16"/>
              </w:rPr>
              <w:t>Hebrew Bible / Tanakh and early textual witnesses</w:t>
            </w:r>
          </w:p>
        </w:tc>
        <w:tc>
          <w:tcPr>
            <w:tcW w:type="dxa" w:w="6480"/>
            <w:vAlign w:val="top"/>
          </w:tcPr>
          <w:p>
            <w:pPr>
              <w:jc w:val="left"/>
            </w:pPr>
            <w:r/>
            <w:r>
              <w:rPr>
                <w:rFonts w:ascii="Arial" w:hAnsi="Arial"/>
                <w:b w:val="0"/>
                <w:sz w:val="16"/>
              </w:rPr>
              <w:t>Primary scriptural worldview: covenant, prophecy, law, wisdom, exile, restoration.</w:t>
            </w:r>
          </w:p>
        </w:tc>
      </w:tr>
      <w:tr>
        <w:tc>
          <w:tcPr>
            <w:tcW w:type="dxa" w:w="936"/>
            <w:vAlign w:val="top"/>
          </w:tcPr>
          <w:p>
            <w:pPr>
              <w:jc w:val="left"/>
            </w:pPr>
            <w:r/>
            <w:r>
              <w:rPr>
                <w:rFonts w:ascii="Arial" w:hAnsi="Arial"/>
                <w:b w:val="0"/>
                <w:sz w:val="16"/>
              </w:rPr>
              <w:t>Tier 2</w:t>
            </w:r>
          </w:p>
        </w:tc>
        <w:tc>
          <w:tcPr>
            <w:tcW w:type="dxa" w:w="3240"/>
            <w:vAlign w:val="top"/>
          </w:tcPr>
          <w:p>
            <w:pPr>
              <w:jc w:val="left"/>
            </w:pPr>
            <w:r/>
            <w:r>
              <w:rPr>
                <w:rFonts w:ascii="Arial" w:hAnsi="Arial"/>
                <w:b w:val="0"/>
                <w:sz w:val="16"/>
              </w:rPr>
              <w:t>Second Temple literature</w:t>
            </w:r>
          </w:p>
        </w:tc>
        <w:tc>
          <w:tcPr>
            <w:tcW w:type="dxa" w:w="6480"/>
            <w:vAlign w:val="top"/>
          </w:tcPr>
          <w:p>
            <w:pPr>
              <w:jc w:val="left"/>
            </w:pPr>
            <w:r/>
            <w:r>
              <w:rPr>
                <w:rFonts w:ascii="Arial" w:hAnsi="Arial"/>
                <w:b w:val="0"/>
                <w:sz w:val="16"/>
              </w:rPr>
              <w:t>Closest bridge to late antique Jewish thought: apocalyptic, messianism, sectarianism, purity, angels, eschatology.</w:t>
            </w:r>
          </w:p>
        </w:tc>
      </w:tr>
      <w:tr>
        <w:tc>
          <w:tcPr>
            <w:tcW w:type="dxa" w:w="936"/>
            <w:vAlign w:val="top"/>
          </w:tcPr>
          <w:p>
            <w:pPr>
              <w:jc w:val="left"/>
            </w:pPr>
            <w:r/>
            <w:r>
              <w:rPr>
                <w:rFonts w:ascii="Arial" w:hAnsi="Arial"/>
                <w:b w:val="0"/>
                <w:sz w:val="16"/>
              </w:rPr>
              <w:t>Tier 3</w:t>
            </w:r>
          </w:p>
        </w:tc>
        <w:tc>
          <w:tcPr>
            <w:tcW w:type="dxa" w:w="3240"/>
            <w:vAlign w:val="top"/>
          </w:tcPr>
          <w:p>
            <w:pPr>
              <w:jc w:val="left"/>
            </w:pPr>
            <w:r/>
            <w:r>
              <w:rPr>
                <w:rFonts w:ascii="Arial" w:hAnsi="Arial"/>
                <w:b w:val="0"/>
                <w:sz w:val="16"/>
              </w:rPr>
              <w:t>Philo and Josephus</w:t>
            </w:r>
          </w:p>
        </w:tc>
        <w:tc>
          <w:tcPr>
            <w:tcW w:type="dxa" w:w="6480"/>
            <w:vAlign w:val="top"/>
          </w:tcPr>
          <w:p>
            <w:pPr>
              <w:jc w:val="left"/>
            </w:pPr>
            <w:r/>
            <w:r>
              <w:rPr>
                <w:rFonts w:ascii="Arial" w:hAnsi="Arial"/>
                <w:b w:val="0"/>
                <w:sz w:val="16"/>
              </w:rPr>
              <w:t>Diaspora philosophy and historical self-presentation to Greek/Roman audiences.</w:t>
            </w:r>
          </w:p>
        </w:tc>
      </w:tr>
      <w:tr>
        <w:tc>
          <w:tcPr>
            <w:tcW w:type="dxa" w:w="936"/>
            <w:vAlign w:val="top"/>
          </w:tcPr>
          <w:p>
            <w:pPr>
              <w:jc w:val="left"/>
            </w:pPr>
            <w:r/>
            <w:r>
              <w:rPr>
                <w:rFonts w:ascii="Arial" w:hAnsi="Arial"/>
                <w:b w:val="0"/>
                <w:sz w:val="16"/>
              </w:rPr>
              <w:t>Tier 4</w:t>
            </w:r>
          </w:p>
        </w:tc>
        <w:tc>
          <w:tcPr>
            <w:tcW w:type="dxa" w:w="3240"/>
            <w:vAlign w:val="top"/>
          </w:tcPr>
          <w:p>
            <w:pPr>
              <w:jc w:val="left"/>
            </w:pPr>
            <w:r/>
            <w:r>
              <w:rPr>
                <w:rFonts w:ascii="Arial" w:hAnsi="Arial"/>
                <w:b w:val="0"/>
                <w:sz w:val="16"/>
              </w:rPr>
              <w:t>Early rabbinic corpus</w:t>
            </w:r>
          </w:p>
        </w:tc>
        <w:tc>
          <w:tcPr>
            <w:tcW w:type="dxa" w:w="6480"/>
            <w:vAlign w:val="top"/>
          </w:tcPr>
          <w:p>
            <w:pPr>
              <w:jc w:val="left"/>
            </w:pPr>
            <w:r/>
            <w:r>
              <w:rPr>
                <w:rFonts w:ascii="Arial" w:hAnsi="Arial"/>
                <w:b w:val="0"/>
                <w:sz w:val="16"/>
              </w:rPr>
              <w:t>Post-Temple reconstruction of Jewish authority and community around Torah, halakhah, debate, synagogue, study.</w:t>
            </w:r>
          </w:p>
        </w:tc>
      </w:tr>
      <w:tr>
        <w:tc>
          <w:tcPr>
            <w:tcW w:type="dxa" w:w="936"/>
            <w:vAlign w:val="top"/>
          </w:tcPr>
          <w:p>
            <w:pPr>
              <w:jc w:val="left"/>
            </w:pPr>
            <w:r/>
            <w:r>
              <w:rPr>
                <w:rFonts w:ascii="Arial" w:hAnsi="Arial"/>
                <w:b w:val="0"/>
                <w:sz w:val="16"/>
              </w:rPr>
              <w:t>Tier 5</w:t>
            </w:r>
          </w:p>
        </w:tc>
        <w:tc>
          <w:tcPr>
            <w:tcW w:type="dxa" w:w="3240"/>
            <w:vAlign w:val="top"/>
          </w:tcPr>
          <w:p>
            <w:pPr>
              <w:jc w:val="left"/>
            </w:pPr>
            <w:r/>
            <w:r>
              <w:rPr>
                <w:rFonts w:ascii="Arial" w:hAnsi="Arial"/>
                <w:b w:val="0"/>
                <w:sz w:val="16"/>
              </w:rPr>
              <w:t>Late antique Jewish texts and liturgy</w:t>
            </w:r>
          </w:p>
        </w:tc>
        <w:tc>
          <w:tcPr>
            <w:tcW w:type="dxa" w:w="6480"/>
            <w:vAlign w:val="top"/>
          </w:tcPr>
          <w:p>
            <w:pPr>
              <w:jc w:val="left"/>
            </w:pPr>
            <w:r/>
            <w:r>
              <w:rPr>
                <w:rFonts w:ascii="Arial" w:hAnsi="Arial"/>
                <w:b w:val="0"/>
                <w:sz w:val="16"/>
              </w:rPr>
              <w:t>Important for the world just before Islam: Targums, midrash, piyyut, Aramaic interpretive culture.</w:t>
            </w:r>
          </w:p>
        </w:tc>
      </w:tr>
      <w:tr>
        <w:tc>
          <w:tcPr>
            <w:tcW w:type="dxa" w:w="936"/>
            <w:vAlign w:val="top"/>
          </w:tcPr>
          <w:p>
            <w:pPr>
              <w:jc w:val="left"/>
            </w:pPr>
            <w:r/>
            <w:r>
              <w:rPr>
                <w:rFonts w:ascii="Arial" w:hAnsi="Arial"/>
                <w:b w:val="0"/>
                <w:sz w:val="16"/>
              </w:rPr>
              <w:t>Tier 6</w:t>
            </w:r>
          </w:p>
        </w:tc>
        <w:tc>
          <w:tcPr>
            <w:tcW w:type="dxa" w:w="3240"/>
            <w:vAlign w:val="top"/>
          </w:tcPr>
          <w:p>
            <w:pPr>
              <w:jc w:val="left"/>
            </w:pPr>
            <w:r/>
            <w:r>
              <w:rPr>
                <w:rFonts w:ascii="Arial" w:hAnsi="Arial"/>
                <w:b w:val="0"/>
                <w:sz w:val="16"/>
              </w:rPr>
              <w:t>Arabian Jewish evidence</w:t>
            </w:r>
          </w:p>
        </w:tc>
        <w:tc>
          <w:tcPr>
            <w:tcW w:type="dxa" w:w="6480"/>
            <w:vAlign w:val="top"/>
          </w:tcPr>
          <w:p>
            <w:pPr>
              <w:jc w:val="left"/>
            </w:pPr>
            <w:r/>
            <w:r>
              <w:rPr>
                <w:rFonts w:ascii="Arial" w:hAnsi="Arial"/>
                <w:b w:val="0"/>
                <w:sz w:val="16"/>
              </w:rPr>
              <w:t>Critical for Islam’s immediate environment, but often fragmentary or mediated through later sources.</w:t>
            </w:r>
          </w:p>
        </w:tc>
      </w:tr>
      <w:tr>
        <w:tc>
          <w:tcPr>
            <w:tcW w:type="dxa" w:w="936"/>
            <w:vAlign w:val="top"/>
          </w:tcPr>
          <w:p>
            <w:pPr>
              <w:jc w:val="left"/>
            </w:pPr>
            <w:r/>
            <w:r>
              <w:rPr>
                <w:rFonts w:ascii="Arial" w:hAnsi="Arial"/>
                <w:b w:val="0"/>
                <w:sz w:val="16"/>
              </w:rPr>
              <w:t>Tier 7</w:t>
            </w:r>
          </w:p>
        </w:tc>
        <w:tc>
          <w:tcPr>
            <w:tcW w:type="dxa" w:w="3240"/>
            <w:vAlign w:val="top"/>
          </w:tcPr>
          <w:p>
            <w:pPr>
              <w:jc w:val="left"/>
            </w:pPr>
            <w:r/>
            <w:r>
              <w:rPr>
                <w:rFonts w:ascii="Arial" w:hAnsi="Arial"/>
                <w:b w:val="0"/>
                <w:sz w:val="16"/>
              </w:rPr>
              <w:t>Modern academic syntheses</w:t>
            </w:r>
          </w:p>
        </w:tc>
        <w:tc>
          <w:tcPr>
            <w:tcW w:type="dxa" w:w="6480"/>
            <w:vAlign w:val="top"/>
          </w:tcPr>
          <w:p>
            <w:pPr>
              <w:jc w:val="left"/>
            </w:pPr>
            <w:r/>
            <w:r>
              <w:rPr>
                <w:rFonts w:ascii="Arial" w:hAnsi="Arial"/>
                <w:b w:val="0"/>
                <w:sz w:val="16"/>
              </w:rPr>
              <w:t>Use as control layer, not as raw evidence. Helpful for periodization and source criticism.</w:t>
            </w:r>
          </w:p>
        </w:tc>
      </w:tr>
    </w:tbl>
    <w:p>
      <w:pPr>
        <w:pStyle w:val="Heading1"/>
      </w:pPr>
      <w:r>
        <w:t>5. Recommended Source Catalogue</w:t>
      </w:r>
    </w:p>
    <w:p>
      <w:r>
        <w:t>This catalogue is designed for ingestion into km_worldview. The “priority” field indicates how soon it should be included in your first build.</w:t>
      </w:r>
    </w:p>
    <w:tbl>
      <w:tblPr>
        <w:tblStyle w:val="TableGrid"/>
        <w:tblW w:type="auto" w:w="0"/>
        <w:jc w:val="center"/>
        <w:tblLayout w:type="autofit"/>
        <w:tblLook w:firstColumn="1" w:firstRow="1" w:lastColumn="0" w:lastRow="0" w:noHBand="0" w:noVBand="1" w:val="04A0"/>
      </w:tblPr>
      <w:tblGrid>
        <w:gridCol w:w="2131"/>
        <w:gridCol w:w="2131"/>
        <w:gridCol w:w="2131"/>
        <w:gridCol w:w="2131"/>
        <w:gridCol w:w="2131"/>
      </w:tblGrid>
      <w:tr>
        <w:tc>
          <w:tcPr>
            <w:tcW w:type="dxa" w:w="2376"/>
            <w:shd w:fill="1F4E79"/>
          </w:tcPr>
          <w:p>
            <w:pPr>
              <w:jc w:val="left"/>
            </w:pPr>
            <w:r/>
            <w:r>
              <w:rPr>
                <w:rFonts w:ascii="Arial" w:hAnsi="Arial"/>
                <w:b/>
                <w:color w:val="FFFFFF"/>
                <w:sz w:val="14"/>
              </w:rPr>
              <w:t>Source</w:t>
            </w:r>
          </w:p>
        </w:tc>
        <w:tc>
          <w:tcPr>
            <w:tcW w:type="dxa" w:w="1512"/>
            <w:shd w:fill="1F4E79"/>
          </w:tcPr>
          <w:p>
            <w:pPr>
              <w:jc w:val="left"/>
            </w:pPr>
            <w:r/>
            <w:r>
              <w:rPr>
                <w:rFonts w:ascii="Arial" w:hAnsi="Arial"/>
                <w:b/>
                <w:color w:val="FFFFFF"/>
                <w:sz w:val="14"/>
              </w:rPr>
              <w:t>Date / layer</w:t>
            </w:r>
          </w:p>
        </w:tc>
        <w:tc>
          <w:tcPr>
            <w:tcW w:type="dxa" w:w="1800"/>
            <w:shd w:fill="1F4E79"/>
          </w:tcPr>
          <w:p>
            <w:pPr>
              <w:jc w:val="left"/>
            </w:pPr>
            <w:r/>
            <w:r>
              <w:rPr>
                <w:rFonts w:ascii="Arial" w:hAnsi="Arial"/>
                <w:b/>
                <w:color w:val="FFFFFF"/>
                <w:sz w:val="14"/>
              </w:rPr>
              <w:t>Type</w:t>
            </w:r>
          </w:p>
        </w:tc>
        <w:tc>
          <w:tcPr>
            <w:tcW w:type="dxa" w:w="4248"/>
            <w:shd w:fill="1F4E79"/>
          </w:tcPr>
          <w:p>
            <w:pPr>
              <w:jc w:val="left"/>
            </w:pPr>
            <w:r/>
            <w:r>
              <w:rPr>
                <w:rFonts w:ascii="Arial" w:hAnsi="Arial"/>
                <w:b/>
                <w:color w:val="FFFFFF"/>
                <w:sz w:val="14"/>
              </w:rPr>
              <w:t>Why it matters</w:t>
            </w:r>
          </w:p>
        </w:tc>
        <w:tc>
          <w:tcPr>
            <w:tcW w:type="dxa" w:w="1008"/>
            <w:shd w:fill="1F4E79"/>
          </w:tcPr>
          <w:p>
            <w:pPr>
              <w:jc w:val="left"/>
            </w:pPr>
            <w:r/>
            <w:r>
              <w:rPr>
                <w:rFonts w:ascii="Arial" w:hAnsi="Arial"/>
                <w:b/>
                <w:color w:val="FFFFFF"/>
                <w:sz w:val="14"/>
              </w:rPr>
              <w:t>Priority</w:t>
            </w:r>
          </w:p>
        </w:tc>
      </w:tr>
      <w:tr>
        <w:tc>
          <w:tcPr>
            <w:tcW w:type="dxa" w:w="2376"/>
            <w:vAlign w:val="top"/>
          </w:tcPr>
          <w:p>
            <w:pPr>
              <w:jc w:val="left"/>
            </w:pPr>
            <w:r/>
            <w:r>
              <w:rPr>
                <w:rFonts w:ascii="Arial" w:hAnsi="Arial"/>
                <w:b w:val="0"/>
                <w:sz w:val="14"/>
              </w:rPr>
              <w:t>Ketef Hinnom silver amulets</w:t>
            </w:r>
          </w:p>
        </w:tc>
        <w:tc>
          <w:tcPr>
            <w:tcW w:type="dxa" w:w="1512"/>
            <w:vAlign w:val="top"/>
          </w:tcPr>
          <w:p>
            <w:pPr>
              <w:jc w:val="left"/>
            </w:pPr>
            <w:r/>
            <w:r>
              <w:rPr>
                <w:rFonts w:ascii="Arial" w:hAnsi="Arial"/>
                <w:b w:val="0"/>
                <w:sz w:val="14"/>
              </w:rPr>
              <w:t>7th/6th c. BCE</w:t>
            </w:r>
          </w:p>
        </w:tc>
        <w:tc>
          <w:tcPr>
            <w:tcW w:type="dxa" w:w="1800"/>
            <w:vAlign w:val="top"/>
          </w:tcPr>
          <w:p>
            <w:pPr>
              <w:jc w:val="left"/>
            </w:pPr>
            <w:r/>
            <w:r>
              <w:rPr>
                <w:rFonts w:ascii="Arial" w:hAnsi="Arial"/>
                <w:b w:val="0"/>
                <w:sz w:val="14"/>
              </w:rPr>
              <w:t>Inscription / artifact</w:t>
            </w:r>
          </w:p>
        </w:tc>
        <w:tc>
          <w:tcPr>
            <w:tcW w:type="dxa" w:w="4248"/>
            <w:vAlign w:val="top"/>
          </w:tcPr>
          <w:p>
            <w:pPr>
              <w:jc w:val="left"/>
            </w:pPr>
            <w:r/>
            <w:r>
              <w:rPr>
                <w:rFonts w:ascii="Arial" w:hAnsi="Arial"/>
                <w:b w:val="0"/>
                <w:sz w:val="14"/>
              </w:rPr>
              <w:t>Earliest biblical-style priestly blessing witness; useful for names, blessing language, YHWH devotion.</w:t>
            </w:r>
          </w:p>
        </w:tc>
        <w:tc>
          <w:tcPr>
            <w:tcW w:type="dxa" w:w="1008"/>
            <w:vAlign w:val="top"/>
          </w:tcPr>
          <w:p>
            <w:pPr>
              <w:jc w:val="left"/>
            </w:pPr>
            <w:r/>
            <w:r>
              <w:rPr>
                <w:rFonts w:ascii="Arial" w:hAnsi="Arial"/>
                <w:b w:val="0"/>
                <w:sz w:val="14"/>
              </w:rPr>
              <w:t>High</w:t>
            </w:r>
          </w:p>
        </w:tc>
      </w:tr>
      <w:tr>
        <w:tc>
          <w:tcPr>
            <w:tcW w:type="dxa" w:w="2376"/>
            <w:vAlign w:val="top"/>
          </w:tcPr>
          <w:p>
            <w:pPr>
              <w:jc w:val="left"/>
            </w:pPr>
            <w:r/>
            <w:r>
              <w:rPr>
                <w:rFonts w:ascii="Arial" w:hAnsi="Arial"/>
                <w:b w:val="0"/>
                <w:sz w:val="14"/>
              </w:rPr>
              <w:t>Elephantine papyri</w:t>
            </w:r>
          </w:p>
        </w:tc>
        <w:tc>
          <w:tcPr>
            <w:tcW w:type="dxa" w:w="1512"/>
            <w:vAlign w:val="top"/>
          </w:tcPr>
          <w:p>
            <w:pPr>
              <w:jc w:val="left"/>
            </w:pPr>
            <w:r/>
            <w:r>
              <w:rPr>
                <w:rFonts w:ascii="Arial" w:hAnsi="Arial"/>
                <w:b w:val="0"/>
                <w:sz w:val="14"/>
              </w:rPr>
              <w:t>5th c. BCE</w:t>
            </w:r>
          </w:p>
        </w:tc>
        <w:tc>
          <w:tcPr>
            <w:tcW w:type="dxa" w:w="1800"/>
            <w:vAlign w:val="top"/>
          </w:tcPr>
          <w:p>
            <w:pPr>
              <w:jc w:val="left"/>
            </w:pPr>
            <w:r/>
            <w:r>
              <w:rPr>
                <w:rFonts w:ascii="Arial" w:hAnsi="Arial"/>
                <w:b w:val="0"/>
                <w:sz w:val="14"/>
              </w:rPr>
              <w:t>Diaspora papyri</w:t>
            </w:r>
          </w:p>
        </w:tc>
        <w:tc>
          <w:tcPr>
            <w:tcW w:type="dxa" w:w="4248"/>
            <w:vAlign w:val="top"/>
          </w:tcPr>
          <w:p>
            <w:pPr>
              <w:jc w:val="left"/>
            </w:pPr>
            <w:r/>
            <w:r>
              <w:rPr>
                <w:rFonts w:ascii="Arial" w:hAnsi="Arial"/>
                <w:b w:val="0"/>
                <w:sz w:val="14"/>
              </w:rPr>
              <w:t>Jewish military colony in Egypt; temple outside Jerusalem; Aramaic documents; diaspora practice.</w:t>
            </w:r>
          </w:p>
        </w:tc>
        <w:tc>
          <w:tcPr>
            <w:tcW w:type="dxa" w:w="1008"/>
            <w:vAlign w:val="top"/>
          </w:tcPr>
          <w:p>
            <w:pPr>
              <w:jc w:val="left"/>
            </w:pPr>
            <w:r/>
            <w:r>
              <w:rPr>
                <w:rFonts w:ascii="Arial" w:hAnsi="Arial"/>
                <w:b w:val="0"/>
                <w:sz w:val="14"/>
              </w:rPr>
              <w:t>High</w:t>
            </w:r>
          </w:p>
        </w:tc>
      </w:tr>
      <w:tr>
        <w:tc>
          <w:tcPr>
            <w:tcW w:type="dxa" w:w="2376"/>
            <w:vAlign w:val="top"/>
          </w:tcPr>
          <w:p>
            <w:pPr>
              <w:jc w:val="left"/>
            </w:pPr>
            <w:r/>
            <w:r>
              <w:rPr>
                <w:rFonts w:ascii="Arial" w:hAnsi="Arial"/>
                <w:b w:val="0"/>
                <w:sz w:val="14"/>
              </w:rPr>
              <w:t>Hebrew Bible / Tanakh</w:t>
            </w:r>
          </w:p>
        </w:tc>
        <w:tc>
          <w:tcPr>
            <w:tcW w:type="dxa" w:w="1512"/>
            <w:vAlign w:val="top"/>
          </w:tcPr>
          <w:p>
            <w:pPr>
              <w:jc w:val="left"/>
            </w:pPr>
            <w:r/>
            <w:r>
              <w:rPr>
                <w:rFonts w:ascii="Arial" w:hAnsi="Arial"/>
                <w:b w:val="0"/>
                <w:sz w:val="14"/>
              </w:rPr>
              <w:t>Composite, ancient Israel to Second Temple</w:t>
            </w:r>
          </w:p>
        </w:tc>
        <w:tc>
          <w:tcPr>
            <w:tcW w:type="dxa" w:w="1800"/>
            <w:vAlign w:val="top"/>
          </w:tcPr>
          <w:p>
            <w:pPr>
              <w:jc w:val="left"/>
            </w:pPr>
            <w:r/>
            <w:r>
              <w:rPr>
                <w:rFonts w:ascii="Arial" w:hAnsi="Arial"/>
                <w:b w:val="0"/>
                <w:sz w:val="14"/>
              </w:rPr>
              <w:t>Scriptural corpus</w:t>
            </w:r>
          </w:p>
        </w:tc>
        <w:tc>
          <w:tcPr>
            <w:tcW w:type="dxa" w:w="4248"/>
            <w:vAlign w:val="top"/>
          </w:tcPr>
          <w:p>
            <w:pPr>
              <w:jc w:val="left"/>
            </w:pPr>
            <w:r/>
            <w:r>
              <w:rPr>
                <w:rFonts w:ascii="Arial" w:hAnsi="Arial"/>
                <w:b w:val="0"/>
                <w:sz w:val="14"/>
              </w:rPr>
              <w:t>Core worldview: covenant, prophets, law, monarchy, exile, wisdom, restoration.</w:t>
            </w:r>
          </w:p>
        </w:tc>
        <w:tc>
          <w:tcPr>
            <w:tcW w:type="dxa" w:w="1008"/>
            <w:vAlign w:val="top"/>
          </w:tcPr>
          <w:p>
            <w:pPr>
              <w:jc w:val="left"/>
            </w:pPr>
            <w:r/>
            <w:r>
              <w:rPr>
                <w:rFonts w:ascii="Arial" w:hAnsi="Arial"/>
                <w:b w:val="0"/>
                <w:sz w:val="14"/>
              </w:rPr>
              <w:t>Essential</w:t>
            </w:r>
          </w:p>
        </w:tc>
      </w:tr>
      <w:tr>
        <w:tc>
          <w:tcPr>
            <w:tcW w:type="dxa" w:w="2376"/>
            <w:vAlign w:val="top"/>
          </w:tcPr>
          <w:p>
            <w:pPr>
              <w:jc w:val="left"/>
            </w:pPr>
            <w:r/>
            <w:r>
              <w:rPr>
                <w:rFonts w:ascii="Arial" w:hAnsi="Arial"/>
                <w:b w:val="0"/>
                <w:sz w:val="14"/>
              </w:rPr>
              <w:t>Septuagint (LXX)</w:t>
            </w:r>
          </w:p>
        </w:tc>
        <w:tc>
          <w:tcPr>
            <w:tcW w:type="dxa" w:w="1512"/>
            <w:vAlign w:val="top"/>
          </w:tcPr>
          <w:p>
            <w:pPr>
              <w:jc w:val="left"/>
            </w:pPr>
            <w:r/>
            <w:r>
              <w:rPr>
                <w:rFonts w:ascii="Arial" w:hAnsi="Arial"/>
                <w:b w:val="0"/>
                <w:sz w:val="14"/>
              </w:rPr>
              <w:t>From 3rd c. BCE onward</w:t>
            </w:r>
          </w:p>
        </w:tc>
        <w:tc>
          <w:tcPr>
            <w:tcW w:type="dxa" w:w="1800"/>
            <w:vAlign w:val="top"/>
          </w:tcPr>
          <w:p>
            <w:pPr>
              <w:jc w:val="left"/>
            </w:pPr>
            <w:r/>
            <w:r>
              <w:rPr>
                <w:rFonts w:ascii="Arial" w:hAnsi="Arial"/>
                <w:b w:val="0"/>
                <w:sz w:val="14"/>
              </w:rPr>
              <w:t>Greek Jewish translation</w:t>
            </w:r>
          </w:p>
        </w:tc>
        <w:tc>
          <w:tcPr>
            <w:tcW w:type="dxa" w:w="4248"/>
            <w:vAlign w:val="top"/>
          </w:tcPr>
          <w:p>
            <w:pPr>
              <w:jc w:val="left"/>
            </w:pPr>
            <w:r/>
            <w:r>
              <w:rPr>
                <w:rFonts w:ascii="Arial" w:hAnsi="Arial"/>
                <w:b w:val="0"/>
                <w:sz w:val="14"/>
              </w:rPr>
              <w:t>Diaspora scripture; shows Jewish scriptural vocabulary in Greek world.</w:t>
            </w:r>
          </w:p>
        </w:tc>
        <w:tc>
          <w:tcPr>
            <w:tcW w:type="dxa" w:w="1008"/>
            <w:vAlign w:val="top"/>
          </w:tcPr>
          <w:p>
            <w:pPr>
              <w:jc w:val="left"/>
            </w:pPr>
            <w:r/>
            <w:r>
              <w:rPr>
                <w:rFonts w:ascii="Arial" w:hAnsi="Arial"/>
                <w:b w:val="0"/>
                <w:sz w:val="14"/>
              </w:rPr>
              <w:t>High</w:t>
            </w:r>
          </w:p>
        </w:tc>
      </w:tr>
      <w:tr>
        <w:tc>
          <w:tcPr>
            <w:tcW w:type="dxa" w:w="2376"/>
            <w:vAlign w:val="top"/>
          </w:tcPr>
          <w:p>
            <w:pPr>
              <w:jc w:val="left"/>
            </w:pPr>
            <w:r/>
            <w:r>
              <w:rPr>
                <w:rFonts w:ascii="Arial" w:hAnsi="Arial"/>
                <w:b w:val="0"/>
                <w:sz w:val="14"/>
              </w:rPr>
              <w:t>Dead Sea Scrolls / Qumran</w:t>
            </w:r>
          </w:p>
        </w:tc>
        <w:tc>
          <w:tcPr>
            <w:tcW w:type="dxa" w:w="1512"/>
            <w:vAlign w:val="top"/>
          </w:tcPr>
          <w:p>
            <w:pPr>
              <w:jc w:val="left"/>
            </w:pPr>
            <w:r/>
            <w:r>
              <w:rPr>
                <w:rFonts w:ascii="Arial" w:hAnsi="Arial"/>
                <w:b w:val="0"/>
                <w:sz w:val="14"/>
              </w:rPr>
              <w:t>3rd c. BCE–1st c. CE</w:t>
            </w:r>
          </w:p>
        </w:tc>
        <w:tc>
          <w:tcPr>
            <w:tcW w:type="dxa" w:w="1800"/>
            <w:vAlign w:val="top"/>
          </w:tcPr>
          <w:p>
            <w:pPr>
              <w:jc w:val="left"/>
            </w:pPr>
            <w:r/>
            <w:r>
              <w:rPr>
                <w:rFonts w:ascii="Arial" w:hAnsi="Arial"/>
                <w:b w:val="0"/>
                <w:sz w:val="14"/>
              </w:rPr>
              <w:t>Manuscripts / sectarian library</w:t>
            </w:r>
          </w:p>
        </w:tc>
        <w:tc>
          <w:tcPr>
            <w:tcW w:type="dxa" w:w="4248"/>
            <w:vAlign w:val="top"/>
          </w:tcPr>
          <w:p>
            <w:pPr>
              <w:jc w:val="left"/>
            </w:pPr>
            <w:r/>
            <w:r>
              <w:rPr>
                <w:rFonts w:ascii="Arial" w:hAnsi="Arial"/>
                <w:b w:val="0"/>
                <w:sz w:val="14"/>
              </w:rPr>
              <w:t>Second Temple diversity, biblical interpretation, apocalyptic, purity, community rule.</w:t>
            </w:r>
          </w:p>
        </w:tc>
        <w:tc>
          <w:tcPr>
            <w:tcW w:type="dxa" w:w="1008"/>
            <w:vAlign w:val="top"/>
          </w:tcPr>
          <w:p>
            <w:pPr>
              <w:jc w:val="left"/>
            </w:pPr>
            <w:r/>
            <w:r>
              <w:rPr>
                <w:rFonts w:ascii="Arial" w:hAnsi="Arial"/>
                <w:b w:val="0"/>
                <w:sz w:val="14"/>
              </w:rPr>
              <w:t>Essential</w:t>
            </w:r>
          </w:p>
        </w:tc>
      </w:tr>
      <w:tr>
        <w:tc>
          <w:tcPr>
            <w:tcW w:type="dxa" w:w="2376"/>
            <w:vAlign w:val="top"/>
          </w:tcPr>
          <w:p>
            <w:pPr>
              <w:jc w:val="left"/>
            </w:pPr>
            <w:r/>
            <w:r>
              <w:rPr>
                <w:rFonts w:ascii="Arial" w:hAnsi="Arial"/>
                <w:b w:val="0"/>
                <w:sz w:val="14"/>
              </w:rPr>
              <w:t>Apocrypha / Deuterocanon</w:t>
            </w:r>
          </w:p>
        </w:tc>
        <w:tc>
          <w:tcPr>
            <w:tcW w:type="dxa" w:w="1512"/>
            <w:vAlign w:val="top"/>
          </w:tcPr>
          <w:p>
            <w:pPr>
              <w:jc w:val="left"/>
            </w:pPr>
            <w:r/>
            <w:r>
              <w:rPr>
                <w:rFonts w:ascii="Arial" w:hAnsi="Arial"/>
                <w:b w:val="0"/>
                <w:sz w:val="14"/>
              </w:rPr>
              <w:t>Mostly Second Temple</w:t>
            </w:r>
          </w:p>
        </w:tc>
        <w:tc>
          <w:tcPr>
            <w:tcW w:type="dxa" w:w="1800"/>
            <w:vAlign w:val="top"/>
          </w:tcPr>
          <w:p>
            <w:pPr>
              <w:jc w:val="left"/>
            </w:pPr>
            <w:r/>
            <w:r>
              <w:rPr>
                <w:rFonts w:ascii="Arial" w:hAnsi="Arial"/>
                <w:b w:val="0"/>
                <w:sz w:val="14"/>
              </w:rPr>
              <w:t>Scriptural-adjacent literature</w:t>
            </w:r>
          </w:p>
        </w:tc>
        <w:tc>
          <w:tcPr>
            <w:tcW w:type="dxa" w:w="4248"/>
            <w:vAlign w:val="top"/>
          </w:tcPr>
          <w:p>
            <w:pPr>
              <w:jc w:val="left"/>
            </w:pPr>
            <w:r/>
            <w:r>
              <w:rPr>
                <w:rFonts w:ascii="Arial" w:hAnsi="Arial"/>
                <w:b w:val="0"/>
                <w:sz w:val="14"/>
              </w:rPr>
              <w:t>Wisdom, martyrdom, Maccabean identity, diaspora piety; bridge to late antique themes.</w:t>
            </w:r>
          </w:p>
        </w:tc>
        <w:tc>
          <w:tcPr>
            <w:tcW w:type="dxa" w:w="1008"/>
            <w:vAlign w:val="top"/>
          </w:tcPr>
          <w:p>
            <w:pPr>
              <w:jc w:val="left"/>
            </w:pPr>
            <w:r/>
            <w:r>
              <w:rPr>
                <w:rFonts w:ascii="Arial" w:hAnsi="Arial"/>
                <w:b w:val="0"/>
                <w:sz w:val="14"/>
              </w:rPr>
              <w:t>High</w:t>
            </w:r>
          </w:p>
        </w:tc>
      </w:tr>
      <w:tr>
        <w:tc>
          <w:tcPr>
            <w:tcW w:type="dxa" w:w="2376"/>
            <w:vAlign w:val="top"/>
          </w:tcPr>
          <w:p>
            <w:pPr>
              <w:jc w:val="left"/>
            </w:pPr>
            <w:r/>
            <w:r>
              <w:rPr>
                <w:rFonts w:ascii="Arial" w:hAnsi="Arial"/>
                <w:b w:val="0"/>
                <w:sz w:val="14"/>
              </w:rPr>
              <w:t>Pseudepigrapha: 1 Enoch, Jubilees, Testaments</w:t>
            </w:r>
          </w:p>
        </w:tc>
        <w:tc>
          <w:tcPr>
            <w:tcW w:type="dxa" w:w="1512"/>
            <w:vAlign w:val="top"/>
          </w:tcPr>
          <w:p>
            <w:pPr>
              <w:jc w:val="left"/>
            </w:pPr>
            <w:r/>
            <w:r>
              <w:rPr>
                <w:rFonts w:ascii="Arial" w:hAnsi="Arial"/>
                <w:b w:val="0"/>
                <w:sz w:val="14"/>
              </w:rPr>
              <w:t>Second Temple</w:t>
            </w:r>
          </w:p>
        </w:tc>
        <w:tc>
          <w:tcPr>
            <w:tcW w:type="dxa" w:w="1800"/>
            <w:vAlign w:val="top"/>
          </w:tcPr>
          <w:p>
            <w:pPr>
              <w:jc w:val="left"/>
            </w:pPr>
            <w:r/>
            <w:r>
              <w:rPr>
                <w:rFonts w:ascii="Arial" w:hAnsi="Arial"/>
                <w:b w:val="0"/>
                <w:sz w:val="14"/>
              </w:rPr>
              <w:t>Apocalyptic / rewritten Bible</w:t>
            </w:r>
          </w:p>
        </w:tc>
        <w:tc>
          <w:tcPr>
            <w:tcW w:type="dxa" w:w="4248"/>
            <w:vAlign w:val="top"/>
          </w:tcPr>
          <w:p>
            <w:pPr>
              <w:jc w:val="left"/>
            </w:pPr>
            <w:r/>
            <w:r>
              <w:rPr>
                <w:rFonts w:ascii="Arial" w:hAnsi="Arial"/>
                <w:b w:val="0"/>
                <w:sz w:val="14"/>
              </w:rPr>
              <w:t>Angels, judgement, calendar, covenant, cosmic history, messianic imagination.</w:t>
            </w:r>
          </w:p>
        </w:tc>
        <w:tc>
          <w:tcPr>
            <w:tcW w:type="dxa" w:w="1008"/>
            <w:vAlign w:val="top"/>
          </w:tcPr>
          <w:p>
            <w:pPr>
              <w:jc w:val="left"/>
            </w:pPr>
            <w:r/>
            <w:r>
              <w:rPr>
                <w:rFonts w:ascii="Arial" w:hAnsi="Arial"/>
                <w:b w:val="0"/>
                <w:sz w:val="14"/>
              </w:rPr>
              <w:t>High</w:t>
            </w:r>
          </w:p>
        </w:tc>
      </w:tr>
      <w:tr>
        <w:tc>
          <w:tcPr>
            <w:tcW w:type="dxa" w:w="2376"/>
            <w:vAlign w:val="top"/>
          </w:tcPr>
          <w:p>
            <w:pPr>
              <w:jc w:val="left"/>
            </w:pPr>
            <w:r/>
            <w:r>
              <w:rPr>
                <w:rFonts w:ascii="Arial" w:hAnsi="Arial"/>
                <w:b w:val="0"/>
                <w:sz w:val="14"/>
              </w:rPr>
              <w:t>Ben Sira / Sirach</w:t>
            </w:r>
          </w:p>
        </w:tc>
        <w:tc>
          <w:tcPr>
            <w:tcW w:type="dxa" w:w="1512"/>
            <w:vAlign w:val="top"/>
          </w:tcPr>
          <w:p>
            <w:pPr>
              <w:jc w:val="left"/>
            </w:pPr>
            <w:r/>
            <w:r>
              <w:rPr>
                <w:rFonts w:ascii="Arial" w:hAnsi="Arial"/>
                <w:b w:val="0"/>
                <w:sz w:val="14"/>
              </w:rPr>
              <w:t>2nd c. BCE</w:t>
            </w:r>
          </w:p>
        </w:tc>
        <w:tc>
          <w:tcPr>
            <w:tcW w:type="dxa" w:w="1800"/>
            <w:vAlign w:val="top"/>
          </w:tcPr>
          <w:p>
            <w:pPr>
              <w:jc w:val="left"/>
            </w:pPr>
            <w:r/>
            <w:r>
              <w:rPr>
                <w:rFonts w:ascii="Arial" w:hAnsi="Arial"/>
                <w:b w:val="0"/>
                <w:sz w:val="14"/>
              </w:rPr>
              <w:t>Wisdom text</w:t>
            </w:r>
          </w:p>
        </w:tc>
        <w:tc>
          <w:tcPr>
            <w:tcW w:type="dxa" w:w="4248"/>
            <w:vAlign w:val="top"/>
          </w:tcPr>
          <w:p>
            <w:pPr>
              <w:jc w:val="left"/>
            </w:pPr>
            <w:r/>
            <w:r>
              <w:rPr>
                <w:rFonts w:ascii="Arial" w:hAnsi="Arial"/>
                <w:b w:val="0"/>
                <w:sz w:val="14"/>
              </w:rPr>
              <w:t>Ethics, Torah-wisdom fusion, social hierarchy, priestly/scribal worldview.</w:t>
            </w:r>
          </w:p>
        </w:tc>
        <w:tc>
          <w:tcPr>
            <w:tcW w:type="dxa" w:w="1008"/>
            <w:vAlign w:val="top"/>
          </w:tcPr>
          <w:p>
            <w:pPr>
              <w:jc w:val="left"/>
            </w:pPr>
            <w:r/>
            <w:r>
              <w:rPr>
                <w:rFonts w:ascii="Arial" w:hAnsi="Arial"/>
                <w:b w:val="0"/>
                <w:sz w:val="14"/>
              </w:rPr>
              <w:t>High</w:t>
            </w:r>
          </w:p>
        </w:tc>
      </w:tr>
      <w:tr>
        <w:tc>
          <w:tcPr>
            <w:tcW w:type="dxa" w:w="2376"/>
            <w:vAlign w:val="top"/>
          </w:tcPr>
          <w:p>
            <w:pPr>
              <w:jc w:val="left"/>
            </w:pPr>
            <w:r/>
            <w:r>
              <w:rPr>
                <w:rFonts w:ascii="Arial" w:hAnsi="Arial"/>
                <w:b w:val="0"/>
                <w:sz w:val="14"/>
              </w:rPr>
              <w:t>1–2 Maccabees</w:t>
            </w:r>
          </w:p>
        </w:tc>
        <w:tc>
          <w:tcPr>
            <w:tcW w:type="dxa" w:w="1512"/>
            <w:vAlign w:val="top"/>
          </w:tcPr>
          <w:p>
            <w:pPr>
              <w:jc w:val="left"/>
            </w:pPr>
            <w:r/>
            <w:r>
              <w:rPr>
                <w:rFonts w:ascii="Arial" w:hAnsi="Arial"/>
                <w:b w:val="0"/>
                <w:sz w:val="14"/>
              </w:rPr>
              <w:t>2nd/1st c. BCE</w:t>
            </w:r>
          </w:p>
        </w:tc>
        <w:tc>
          <w:tcPr>
            <w:tcW w:type="dxa" w:w="1800"/>
            <w:vAlign w:val="top"/>
          </w:tcPr>
          <w:p>
            <w:pPr>
              <w:jc w:val="left"/>
            </w:pPr>
            <w:r/>
            <w:r>
              <w:rPr>
                <w:rFonts w:ascii="Arial" w:hAnsi="Arial"/>
                <w:b w:val="0"/>
                <w:sz w:val="14"/>
              </w:rPr>
              <w:t>Historical-theological narrative</w:t>
            </w:r>
          </w:p>
        </w:tc>
        <w:tc>
          <w:tcPr>
            <w:tcW w:type="dxa" w:w="4248"/>
            <w:vAlign w:val="top"/>
          </w:tcPr>
          <w:p>
            <w:pPr>
              <w:jc w:val="left"/>
            </w:pPr>
            <w:r/>
            <w:r>
              <w:rPr>
                <w:rFonts w:ascii="Arial" w:hAnsi="Arial"/>
                <w:b w:val="0"/>
                <w:sz w:val="14"/>
              </w:rPr>
              <w:t>Persecution, law fidelity, martyrdom, temple purification, political identity.</w:t>
            </w:r>
          </w:p>
        </w:tc>
        <w:tc>
          <w:tcPr>
            <w:tcW w:type="dxa" w:w="1008"/>
            <w:vAlign w:val="top"/>
          </w:tcPr>
          <w:p>
            <w:pPr>
              <w:jc w:val="left"/>
            </w:pPr>
            <w:r/>
            <w:r>
              <w:rPr>
                <w:rFonts w:ascii="Arial" w:hAnsi="Arial"/>
                <w:b w:val="0"/>
                <w:sz w:val="14"/>
              </w:rPr>
              <w:t>High</w:t>
            </w:r>
          </w:p>
        </w:tc>
      </w:tr>
      <w:tr>
        <w:tc>
          <w:tcPr>
            <w:tcW w:type="dxa" w:w="2376"/>
            <w:vAlign w:val="top"/>
          </w:tcPr>
          <w:p>
            <w:pPr>
              <w:jc w:val="left"/>
            </w:pPr>
            <w:r/>
            <w:r>
              <w:rPr>
                <w:rFonts w:ascii="Arial" w:hAnsi="Arial"/>
                <w:b w:val="0"/>
                <w:sz w:val="14"/>
              </w:rPr>
              <w:t>Philo of Alexandria</w:t>
            </w:r>
          </w:p>
        </w:tc>
        <w:tc>
          <w:tcPr>
            <w:tcW w:type="dxa" w:w="1512"/>
            <w:vAlign w:val="top"/>
          </w:tcPr>
          <w:p>
            <w:pPr>
              <w:jc w:val="left"/>
            </w:pPr>
            <w:r/>
            <w:r>
              <w:rPr>
                <w:rFonts w:ascii="Arial" w:hAnsi="Arial"/>
                <w:b w:val="0"/>
                <w:sz w:val="14"/>
              </w:rPr>
              <w:t>c. 15 BCE–50 CE</w:t>
            </w:r>
          </w:p>
        </w:tc>
        <w:tc>
          <w:tcPr>
            <w:tcW w:type="dxa" w:w="1800"/>
            <w:vAlign w:val="top"/>
          </w:tcPr>
          <w:p>
            <w:pPr>
              <w:jc w:val="left"/>
            </w:pPr>
            <w:r/>
            <w:r>
              <w:rPr>
                <w:rFonts w:ascii="Arial" w:hAnsi="Arial"/>
                <w:b w:val="0"/>
                <w:sz w:val="14"/>
              </w:rPr>
              <w:t>Hellenistic Jewish philosophy</w:t>
            </w:r>
          </w:p>
        </w:tc>
        <w:tc>
          <w:tcPr>
            <w:tcW w:type="dxa" w:w="4248"/>
            <w:vAlign w:val="top"/>
          </w:tcPr>
          <w:p>
            <w:pPr>
              <w:jc w:val="left"/>
            </w:pPr>
            <w:r/>
            <w:r>
              <w:rPr>
                <w:rFonts w:ascii="Arial" w:hAnsi="Arial"/>
                <w:b w:val="0"/>
                <w:sz w:val="14"/>
              </w:rPr>
              <w:t>Diaspora philosophical Judaism; allegory, Logos, law, Moses, divine transcendence.</w:t>
            </w:r>
          </w:p>
        </w:tc>
        <w:tc>
          <w:tcPr>
            <w:tcW w:type="dxa" w:w="1008"/>
            <w:vAlign w:val="top"/>
          </w:tcPr>
          <w:p>
            <w:pPr>
              <w:jc w:val="left"/>
            </w:pPr>
            <w:r/>
            <w:r>
              <w:rPr>
                <w:rFonts w:ascii="Arial" w:hAnsi="Arial"/>
                <w:b w:val="0"/>
                <w:sz w:val="14"/>
              </w:rPr>
              <w:t>High</w:t>
            </w:r>
          </w:p>
        </w:tc>
      </w:tr>
      <w:tr>
        <w:tc>
          <w:tcPr>
            <w:tcW w:type="dxa" w:w="2376"/>
            <w:vAlign w:val="top"/>
          </w:tcPr>
          <w:p>
            <w:pPr>
              <w:jc w:val="left"/>
            </w:pPr>
            <w:r/>
            <w:r>
              <w:rPr>
                <w:rFonts w:ascii="Arial" w:hAnsi="Arial"/>
                <w:b w:val="0"/>
                <w:sz w:val="14"/>
              </w:rPr>
              <w:t>Josephus: Jewish War, Antiquities, Against Apion</w:t>
            </w:r>
          </w:p>
        </w:tc>
        <w:tc>
          <w:tcPr>
            <w:tcW w:type="dxa" w:w="1512"/>
            <w:vAlign w:val="top"/>
          </w:tcPr>
          <w:p>
            <w:pPr>
              <w:jc w:val="left"/>
            </w:pPr>
            <w:r/>
            <w:r>
              <w:rPr>
                <w:rFonts w:ascii="Arial" w:hAnsi="Arial"/>
                <w:b w:val="0"/>
                <w:sz w:val="14"/>
              </w:rPr>
              <w:t>75–100 CE</w:t>
            </w:r>
          </w:p>
        </w:tc>
        <w:tc>
          <w:tcPr>
            <w:tcW w:type="dxa" w:w="1800"/>
            <w:vAlign w:val="top"/>
          </w:tcPr>
          <w:p>
            <w:pPr>
              <w:jc w:val="left"/>
            </w:pPr>
            <w:r/>
            <w:r>
              <w:rPr>
                <w:rFonts w:ascii="Arial" w:hAnsi="Arial"/>
                <w:b w:val="0"/>
                <w:sz w:val="14"/>
              </w:rPr>
              <w:t>Historical witness / apologetic</w:t>
            </w:r>
          </w:p>
        </w:tc>
        <w:tc>
          <w:tcPr>
            <w:tcW w:type="dxa" w:w="4248"/>
            <w:vAlign w:val="top"/>
          </w:tcPr>
          <w:p>
            <w:pPr>
              <w:jc w:val="left"/>
            </w:pPr>
            <w:r/>
            <w:r>
              <w:rPr>
                <w:rFonts w:ascii="Arial" w:hAnsi="Arial"/>
                <w:b w:val="0"/>
                <w:sz w:val="14"/>
              </w:rPr>
              <w:t>Second Temple history, revolt, sects, Jewish self-defense before Greco-Roman audience.</w:t>
            </w:r>
          </w:p>
        </w:tc>
        <w:tc>
          <w:tcPr>
            <w:tcW w:type="dxa" w:w="1008"/>
            <w:vAlign w:val="top"/>
          </w:tcPr>
          <w:p>
            <w:pPr>
              <w:jc w:val="left"/>
            </w:pPr>
            <w:r/>
            <w:r>
              <w:rPr>
                <w:rFonts w:ascii="Arial" w:hAnsi="Arial"/>
                <w:b w:val="0"/>
                <w:sz w:val="14"/>
              </w:rPr>
              <w:t>Essential</w:t>
            </w:r>
          </w:p>
        </w:tc>
      </w:tr>
      <w:tr>
        <w:tc>
          <w:tcPr>
            <w:tcW w:type="dxa" w:w="2376"/>
            <w:vAlign w:val="top"/>
          </w:tcPr>
          <w:p>
            <w:pPr>
              <w:jc w:val="left"/>
            </w:pPr>
            <w:r/>
            <w:r>
              <w:rPr>
                <w:rFonts w:ascii="Arial" w:hAnsi="Arial"/>
                <w:b w:val="0"/>
                <w:sz w:val="14"/>
              </w:rPr>
              <w:t>Mishnah</w:t>
            </w:r>
          </w:p>
        </w:tc>
        <w:tc>
          <w:tcPr>
            <w:tcW w:type="dxa" w:w="1512"/>
            <w:vAlign w:val="top"/>
          </w:tcPr>
          <w:p>
            <w:pPr>
              <w:jc w:val="left"/>
            </w:pPr>
            <w:r/>
            <w:r>
              <w:rPr>
                <w:rFonts w:ascii="Arial" w:hAnsi="Arial"/>
                <w:b w:val="0"/>
                <w:sz w:val="14"/>
              </w:rPr>
              <w:t>redacted c. 200 CE</w:t>
            </w:r>
          </w:p>
        </w:tc>
        <w:tc>
          <w:tcPr>
            <w:tcW w:type="dxa" w:w="1800"/>
            <w:vAlign w:val="top"/>
          </w:tcPr>
          <w:p>
            <w:pPr>
              <w:jc w:val="left"/>
            </w:pPr>
            <w:r/>
            <w:r>
              <w:rPr>
                <w:rFonts w:ascii="Arial" w:hAnsi="Arial"/>
                <w:b w:val="0"/>
                <w:sz w:val="14"/>
              </w:rPr>
              <w:t>Early rabbinic law / memory</w:t>
            </w:r>
          </w:p>
        </w:tc>
        <w:tc>
          <w:tcPr>
            <w:tcW w:type="dxa" w:w="4248"/>
            <w:vAlign w:val="top"/>
          </w:tcPr>
          <w:p>
            <w:pPr>
              <w:jc w:val="left"/>
            </w:pPr>
            <w:r/>
            <w:r>
              <w:rPr>
                <w:rFonts w:ascii="Arial" w:hAnsi="Arial"/>
                <w:b w:val="0"/>
                <w:sz w:val="14"/>
              </w:rPr>
              <w:t>Earliest major rabbinic codification; post-Temple community priorities and authority.</w:t>
            </w:r>
          </w:p>
        </w:tc>
        <w:tc>
          <w:tcPr>
            <w:tcW w:type="dxa" w:w="1008"/>
            <w:vAlign w:val="top"/>
          </w:tcPr>
          <w:p>
            <w:pPr>
              <w:jc w:val="left"/>
            </w:pPr>
            <w:r/>
            <w:r>
              <w:rPr>
                <w:rFonts w:ascii="Arial" w:hAnsi="Arial"/>
                <w:b w:val="0"/>
                <w:sz w:val="14"/>
              </w:rPr>
              <w:t>Essential</w:t>
            </w:r>
          </w:p>
        </w:tc>
      </w:tr>
      <w:tr>
        <w:tc>
          <w:tcPr>
            <w:tcW w:type="dxa" w:w="2376"/>
            <w:vAlign w:val="top"/>
          </w:tcPr>
          <w:p>
            <w:pPr>
              <w:jc w:val="left"/>
            </w:pPr>
            <w:r/>
            <w:r>
              <w:rPr>
                <w:rFonts w:ascii="Arial" w:hAnsi="Arial"/>
                <w:b w:val="0"/>
                <w:sz w:val="14"/>
              </w:rPr>
              <w:t>Tosefta</w:t>
            </w:r>
          </w:p>
        </w:tc>
        <w:tc>
          <w:tcPr>
            <w:tcW w:type="dxa" w:w="1512"/>
            <w:vAlign w:val="top"/>
          </w:tcPr>
          <w:p>
            <w:pPr>
              <w:jc w:val="left"/>
            </w:pPr>
            <w:r/>
            <w:r>
              <w:rPr>
                <w:rFonts w:ascii="Arial" w:hAnsi="Arial"/>
                <w:b w:val="0"/>
                <w:sz w:val="14"/>
              </w:rPr>
              <w:t>3rd c. CE</w:t>
            </w:r>
          </w:p>
        </w:tc>
        <w:tc>
          <w:tcPr>
            <w:tcW w:type="dxa" w:w="1800"/>
            <w:vAlign w:val="top"/>
          </w:tcPr>
          <w:p>
            <w:pPr>
              <w:jc w:val="left"/>
            </w:pPr>
            <w:r/>
            <w:r>
              <w:rPr>
                <w:rFonts w:ascii="Arial" w:hAnsi="Arial"/>
                <w:b w:val="0"/>
                <w:sz w:val="14"/>
              </w:rPr>
              <w:t>Tannaitic supplement</w:t>
            </w:r>
          </w:p>
        </w:tc>
        <w:tc>
          <w:tcPr>
            <w:tcW w:type="dxa" w:w="4248"/>
            <w:vAlign w:val="top"/>
          </w:tcPr>
          <w:p>
            <w:pPr>
              <w:jc w:val="left"/>
            </w:pPr>
            <w:r/>
            <w:r>
              <w:rPr>
                <w:rFonts w:ascii="Arial" w:hAnsi="Arial"/>
                <w:b w:val="0"/>
                <w:sz w:val="14"/>
              </w:rPr>
              <w:t>Parallel legal traditions; useful for comparing Mishnah and broader early rabbinic memory.</w:t>
            </w:r>
          </w:p>
        </w:tc>
        <w:tc>
          <w:tcPr>
            <w:tcW w:type="dxa" w:w="1008"/>
            <w:vAlign w:val="top"/>
          </w:tcPr>
          <w:p>
            <w:pPr>
              <w:jc w:val="left"/>
            </w:pPr>
            <w:r/>
            <w:r>
              <w:rPr>
                <w:rFonts w:ascii="Arial" w:hAnsi="Arial"/>
                <w:b w:val="0"/>
                <w:sz w:val="14"/>
              </w:rPr>
              <w:t>Medium</w:t>
            </w:r>
          </w:p>
        </w:tc>
      </w:tr>
      <w:tr>
        <w:tc>
          <w:tcPr>
            <w:tcW w:type="dxa" w:w="2376"/>
            <w:vAlign w:val="top"/>
          </w:tcPr>
          <w:p>
            <w:pPr>
              <w:jc w:val="left"/>
            </w:pPr>
            <w:r/>
            <w:r>
              <w:rPr>
                <w:rFonts w:ascii="Arial" w:hAnsi="Arial"/>
                <w:b w:val="0"/>
                <w:sz w:val="14"/>
              </w:rPr>
              <w:t>Tannaitic Midrashim: Mekhilta, Sifra, Sifre</w:t>
            </w:r>
          </w:p>
        </w:tc>
        <w:tc>
          <w:tcPr>
            <w:tcW w:type="dxa" w:w="1512"/>
            <w:vAlign w:val="top"/>
          </w:tcPr>
          <w:p>
            <w:pPr>
              <w:jc w:val="left"/>
            </w:pPr>
            <w:r/>
            <w:r>
              <w:rPr>
                <w:rFonts w:ascii="Arial" w:hAnsi="Arial"/>
                <w:b w:val="0"/>
                <w:sz w:val="14"/>
              </w:rPr>
              <w:t>early rabbinic, compiled later</w:t>
            </w:r>
          </w:p>
        </w:tc>
        <w:tc>
          <w:tcPr>
            <w:tcW w:type="dxa" w:w="1800"/>
            <w:vAlign w:val="top"/>
          </w:tcPr>
          <w:p>
            <w:pPr>
              <w:jc w:val="left"/>
            </w:pPr>
            <w:r/>
            <w:r>
              <w:rPr>
                <w:rFonts w:ascii="Arial" w:hAnsi="Arial"/>
                <w:b w:val="0"/>
                <w:sz w:val="14"/>
              </w:rPr>
              <w:t>Legal-exegetical midrash</w:t>
            </w:r>
          </w:p>
        </w:tc>
        <w:tc>
          <w:tcPr>
            <w:tcW w:type="dxa" w:w="4248"/>
            <w:vAlign w:val="top"/>
          </w:tcPr>
          <w:p>
            <w:pPr>
              <w:jc w:val="left"/>
            </w:pPr>
            <w:r/>
            <w:r>
              <w:rPr>
                <w:rFonts w:ascii="Arial" w:hAnsi="Arial"/>
                <w:b w:val="0"/>
                <w:sz w:val="14"/>
              </w:rPr>
              <w:t>How rabbis read Torah into law, community norms, and authority.</w:t>
            </w:r>
          </w:p>
        </w:tc>
        <w:tc>
          <w:tcPr>
            <w:tcW w:type="dxa" w:w="1008"/>
            <w:vAlign w:val="top"/>
          </w:tcPr>
          <w:p>
            <w:pPr>
              <w:jc w:val="left"/>
            </w:pPr>
            <w:r/>
            <w:r>
              <w:rPr>
                <w:rFonts w:ascii="Arial" w:hAnsi="Arial"/>
                <w:b w:val="0"/>
                <w:sz w:val="14"/>
              </w:rPr>
              <w:t>High</w:t>
            </w:r>
          </w:p>
        </w:tc>
      </w:tr>
      <w:tr>
        <w:tc>
          <w:tcPr>
            <w:tcW w:type="dxa" w:w="2376"/>
            <w:vAlign w:val="top"/>
          </w:tcPr>
          <w:p>
            <w:pPr>
              <w:jc w:val="left"/>
            </w:pPr>
            <w:r/>
            <w:r>
              <w:rPr>
                <w:rFonts w:ascii="Arial" w:hAnsi="Arial"/>
                <w:b w:val="0"/>
                <w:sz w:val="14"/>
              </w:rPr>
              <w:t>Jerusalem Talmud</w:t>
            </w:r>
          </w:p>
        </w:tc>
        <w:tc>
          <w:tcPr>
            <w:tcW w:type="dxa" w:w="1512"/>
            <w:vAlign w:val="top"/>
          </w:tcPr>
          <w:p>
            <w:pPr>
              <w:jc w:val="left"/>
            </w:pPr>
            <w:r/>
            <w:r>
              <w:rPr>
                <w:rFonts w:ascii="Arial" w:hAnsi="Arial"/>
                <w:b w:val="0"/>
                <w:sz w:val="14"/>
              </w:rPr>
              <w:t>c. 4th/5th c. CE</w:t>
            </w:r>
          </w:p>
        </w:tc>
        <w:tc>
          <w:tcPr>
            <w:tcW w:type="dxa" w:w="1800"/>
            <w:vAlign w:val="top"/>
          </w:tcPr>
          <w:p>
            <w:pPr>
              <w:jc w:val="left"/>
            </w:pPr>
            <w:r/>
            <w:r>
              <w:rPr>
                <w:rFonts w:ascii="Arial" w:hAnsi="Arial"/>
                <w:b w:val="0"/>
                <w:sz w:val="14"/>
              </w:rPr>
              <w:t>Palestinian rabbinic discussion</w:t>
            </w:r>
          </w:p>
        </w:tc>
        <w:tc>
          <w:tcPr>
            <w:tcW w:type="dxa" w:w="4248"/>
            <w:vAlign w:val="top"/>
          </w:tcPr>
          <w:p>
            <w:pPr>
              <w:jc w:val="left"/>
            </w:pPr>
            <w:r/>
            <w:r>
              <w:rPr>
                <w:rFonts w:ascii="Arial" w:hAnsi="Arial"/>
                <w:b w:val="0"/>
                <w:sz w:val="14"/>
              </w:rPr>
              <w:t>Palestinian rabbinic world closer geographically to Syria-Palestine and Arabia links.</w:t>
            </w:r>
          </w:p>
        </w:tc>
        <w:tc>
          <w:tcPr>
            <w:tcW w:type="dxa" w:w="1008"/>
            <w:vAlign w:val="top"/>
          </w:tcPr>
          <w:p>
            <w:pPr>
              <w:jc w:val="left"/>
            </w:pPr>
            <w:r/>
            <w:r>
              <w:rPr>
                <w:rFonts w:ascii="Arial" w:hAnsi="Arial"/>
                <w:b w:val="0"/>
                <w:sz w:val="14"/>
              </w:rPr>
              <w:t>Medium</w:t>
            </w:r>
          </w:p>
        </w:tc>
      </w:tr>
      <w:tr>
        <w:tc>
          <w:tcPr>
            <w:tcW w:type="dxa" w:w="2376"/>
            <w:vAlign w:val="top"/>
          </w:tcPr>
          <w:p>
            <w:pPr>
              <w:jc w:val="left"/>
            </w:pPr>
            <w:r/>
            <w:r>
              <w:rPr>
                <w:rFonts w:ascii="Arial" w:hAnsi="Arial"/>
                <w:b w:val="0"/>
                <w:sz w:val="14"/>
              </w:rPr>
              <w:t>Babylonian Talmud</w:t>
            </w:r>
          </w:p>
        </w:tc>
        <w:tc>
          <w:tcPr>
            <w:tcW w:type="dxa" w:w="1512"/>
            <w:vAlign w:val="top"/>
          </w:tcPr>
          <w:p>
            <w:pPr>
              <w:jc w:val="left"/>
            </w:pPr>
            <w:r/>
            <w:r>
              <w:rPr>
                <w:rFonts w:ascii="Arial" w:hAnsi="Arial"/>
                <w:b w:val="0"/>
                <w:sz w:val="14"/>
              </w:rPr>
              <w:t>completed c. 600 CE</w:t>
            </w:r>
          </w:p>
        </w:tc>
        <w:tc>
          <w:tcPr>
            <w:tcW w:type="dxa" w:w="1800"/>
            <w:vAlign w:val="top"/>
          </w:tcPr>
          <w:p>
            <w:pPr>
              <w:jc w:val="left"/>
            </w:pPr>
            <w:r/>
            <w:r>
              <w:rPr>
                <w:rFonts w:ascii="Arial" w:hAnsi="Arial"/>
                <w:b w:val="0"/>
                <w:sz w:val="14"/>
              </w:rPr>
              <w:t>Babylonian rabbinic discussion</w:t>
            </w:r>
          </w:p>
        </w:tc>
        <w:tc>
          <w:tcPr>
            <w:tcW w:type="dxa" w:w="4248"/>
            <w:vAlign w:val="top"/>
          </w:tcPr>
          <w:p>
            <w:pPr>
              <w:jc w:val="left"/>
            </w:pPr>
            <w:r/>
            <w:r>
              <w:rPr>
                <w:rFonts w:ascii="Arial" w:hAnsi="Arial"/>
                <w:b w:val="0"/>
                <w:sz w:val="14"/>
              </w:rPr>
              <w:t>Late antique Jewish thought and authority before/around Islam; huge but late and layered.</w:t>
            </w:r>
          </w:p>
        </w:tc>
        <w:tc>
          <w:tcPr>
            <w:tcW w:type="dxa" w:w="1008"/>
            <w:vAlign w:val="top"/>
          </w:tcPr>
          <w:p>
            <w:pPr>
              <w:jc w:val="left"/>
            </w:pPr>
            <w:r/>
            <w:r>
              <w:rPr>
                <w:rFonts w:ascii="Arial" w:hAnsi="Arial"/>
                <w:b w:val="0"/>
                <w:sz w:val="14"/>
              </w:rPr>
              <w:t>High but staged</w:t>
            </w:r>
          </w:p>
        </w:tc>
      </w:tr>
      <w:tr>
        <w:tc>
          <w:tcPr>
            <w:tcW w:type="dxa" w:w="2376"/>
            <w:vAlign w:val="top"/>
          </w:tcPr>
          <w:p>
            <w:pPr>
              <w:jc w:val="left"/>
            </w:pPr>
            <w:r/>
            <w:r>
              <w:rPr>
                <w:rFonts w:ascii="Arial" w:hAnsi="Arial"/>
                <w:b w:val="0"/>
                <w:sz w:val="14"/>
              </w:rPr>
              <w:t>Targums</w:t>
            </w:r>
          </w:p>
        </w:tc>
        <w:tc>
          <w:tcPr>
            <w:tcW w:type="dxa" w:w="1512"/>
            <w:vAlign w:val="top"/>
          </w:tcPr>
          <w:p>
            <w:pPr>
              <w:jc w:val="left"/>
            </w:pPr>
            <w:r/>
            <w:r>
              <w:rPr>
                <w:rFonts w:ascii="Arial" w:hAnsi="Arial"/>
                <w:b w:val="0"/>
                <w:sz w:val="14"/>
              </w:rPr>
              <w:t>late antique redactions, older oral layers</w:t>
            </w:r>
          </w:p>
        </w:tc>
        <w:tc>
          <w:tcPr>
            <w:tcW w:type="dxa" w:w="1800"/>
            <w:vAlign w:val="top"/>
          </w:tcPr>
          <w:p>
            <w:pPr>
              <w:jc w:val="left"/>
            </w:pPr>
            <w:r/>
            <w:r>
              <w:rPr>
                <w:rFonts w:ascii="Arial" w:hAnsi="Arial"/>
                <w:b w:val="0"/>
                <w:sz w:val="14"/>
              </w:rPr>
              <w:t>Aramaic scriptural translation/interpretation</w:t>
            </w:r>
          </w:p>
        </w:tc>
        <w:tc>
          <w:tcPr>
            <w:tcW w:type="dxa" w:w="4248"/>
            <w:vAlign w:val="top"/>
          </w:tcPr>
          <w:p>
            <w:pPr>
              <w:jc w:val="left"/>
            </w:pPr>
            <w:r/>
            <w:r>
              <w:rPr>
                <w:rFonts w:ascii="Arial" w:hAnsi="Arial"/>
                <w:b w:val="0"/>
                <w:sz w:val="14"/>
              </w:rPr>
              <w:t>Aramaic biblical interpretation, paraphrase, theology, anti-anthropomorphism, messianic language.</w:t>
            </w:r>
          </w:p>
        </w:tc>
        <w:tc>
          <w:tcPr>
            <w:tcW w:type="dxa" w:w="1008"/>
            <w:vAlign w:val="top"/>
          </w:tcPr>
          <w:p>
            <w:pPr>
              <w:jc w:val="left"/>
            </w:pPr>
            <w:r/>
            <w:r>
              <w:rPr>
                <w:rFonts w:ascii="Arial" w:hAnsi="Arial"/>
                <w:b w:val="0"/>
                <w:sz w:val="14"/>
              </w:rPr>
              <w:t>High</w:t>
            </w:r>
          </w:p>
        </w:tc>
      </w:tr>
      <w:tr>
        <w:tc>
          <w:tcPr>
            <w:tcW w:type="dxa" w:w="2376"/>
            <w:vAlign w:val="top"/>
          </w:tcPr>
          <w:p>
            <w:pPr>
              <w:jc w:val="left"/>
            </w:pPr>
            <w:r/>
            <w:r>
              <w:rPr>
                <w:rFonts w:ascii="Arial" w:hAnsi="Arial"/>
                <w:b w:val="0"/>
                <w:sz w:val="14"/>
              </w:rPr>
              <w:t>Midrash Rabbah / later midrashim</w:t>
            </w:r>
          </w:p>
        </w:tc>
        <w:tc>
          <w:tcPr>
            <w:tcW w:type="dxa" w:w="1512"/>
            <w:vAlign w:val="top"/>
          </w:tcPr>
          <w:p>
            <w:pPr>
              <w:jc w:val="left"/>
            </w:pPr>
            <w:r/>
            <w:r>
              <w:rPr>
                <w:rFonts w:ascii="Arial" w:hAnsi="Arial"/>
                <w:b w:val="0"/>
                <w:sz w:val="14"/>
              </w:rPr>
              <w:t>late antique to medieval layers</w:t>
            </w:r>
          </w:p>
        </w:tc>
        <w:tc>
          <w:tcPr>
            <w:tcW w:type="dxa" w:w="1800"/>
            <w:vAlign w:val="top"/>
          </w:tcPr>
          <w:p>
            <w:pPr>
              <w:jc w:val="left"/>
            </w:pPr>
            <w:r/>
            <w:r>
              <w:rPr>
                <w:rFonts w:ascii="Arial" w:hAnsi="Arial"/>
                <w:b w:val="0"/>
                <w:sz w:val="14"/>
              </w:rPr>
              <w:t>Narrative/exegetical midrash</w:t>
            </w:r>
          </w:p>
        </w:tc>
        <w:tc>
          <w:tcPr>
            <w:tcW w:type="dxa" w:w="4248"/>
            <w:vAlign w:val="top"/>
          </w:tcPr>
          <w:p>
            <w:pPr>
              <w:jc w:val="left"/>
            </w:pPr>
            <w:r/>
            <w:r>
              <w:rPr>
                <w:rFonts w:ascii="Arial" w:hAnsi="Arial"/>
                <w:b w:val="0"/>
                <w:sz w:val="14"/>
              </w:rPr>
              <w:t>Useful for themes but must be labelled by redaction layer.</w:t>
            </w:r>
          </w:p>
        </w:tc>
        <w:tc>
          <w:tcPr>
            <w:tcW w:type="dxa" w:w="1008"/>
            <w:vAlign w:val="top"/>
          </w:tcPr>
          <w:p>
            <w:pPr>
              <w:jc w:val="left"/>
            </w:pPr>
            <w:r/>
            <w:r>
              <w:rPr>
                <w:rFonts w:ascii="Arial" w:hAnsi="Arial"/>
                <w:b w:val="0"/>
                <w:sz w:val="14"/>
              </w:rPr>
              <w:t>Medium</w:t>
            </w:r>
          </w:p>
        </w:tc>
      </w:tr>
      <w:tr>
        <w:tc>
          <w:tcPr>
            <w:tcW w:type="dxa" w:w="2376"/>
            <w:vAlign w:val="top"/>
          </w:tcPr>
          <w:p>
            <w:pPr>
              <w:jc w:val="left"/>
            </w:pPr>
            <w:r/>
            <w:r>
              <w:rPr>
                <w:rFonts w:ascii="Arial" w:hAnsi="Arial"/>
                <w:b w:val="0"/>
                <w:sz w:val="14"/>
              </w:rPr>
              <w:t>Ḥimyarite Jewish inscriptions</w:t>
            </w:r>
          </w:p>
        </w:tc>
        <w:tc>
          <w:tcPr>
            <w:tcW w:type="dxa" w:w="1512"/>
            <w:vAlign w:val="top"/>
          </w:tcPr>
          <w:p>
            <w:pPr>
              <w:jc w:val="left"/>
            </w:pPr>
            <w:r/>
            <w:r>
              <w:rPr>
                <w:rFonts w:ascii="Arial" w:hAnsi="Arial"/>
                <w:b w:val="0"/>
                <w:sz w:val="14"/>
              </w:rPr>
              <w:t>4th–6th c. CE</w:t>
            </w:r>
          </w:p>
        </w:tc>
        <w:tc>
          <w:tcPr>
            <w:tcW w:type="dxa" w:w="1800"/>
            <w:vAlign w:val="top"/>
          </w:tcPr>
          <w:p>
            <w:pPr>
              <w:jc w:val="left"/>
            </w:pPr>
            <w:r/>
            <w:r>
              <w:rPr>
                <w:rFonts w:ascii="Arial" w:hAnsi="Arial"/>
                <w:b w:val="0"/>
                <w:sz w:val="14"/>
              </w:rPr>
              <w:t>South Arabian inscriptions</w:t>
            </w:r>
          </w:p>
        </w:tc>
        <w:tc>
          <w:tcPr>
            <w:tcW w:type="dxa" w:w="4248"/>
            <w:vAlign w:val="top"/>
          </w:tcPr>
          <w:p>
            <w:pPr>
              <w:jc w:val="left"/>
            </w:pPr>
            <w:r/>
            <w:r>
              <w:rPr>
                <w:rFonts w:ascii="Arial" w:hAnsi="Arial"/>
                <w:b w:val="0"/>
                <w:sz w:val="14"/>
              </w:rPr>
              <w:t>Most important Arabia-side evidence: monotheism, Raḥmānān language, Jewish kingdom context.</w:t>
            </w:r>
          </w:p>
        </w:tc>
        <w:tc>
          <w:tcPr>
            <w:tcW w:type="dxa" w:w="1008"/>
            <w:vAlign w:val="top"/>
          </w:tcPr>
          <w:p>
            <w:pPr>
              <w:jc w:val="left"/>
            </w:pPr>
            <w:r/>
            <w:r>
              <w:rPr>
                <w:rFonts w:ascii="Arial" w:hAnsi="Arial"/>
                <w:b w:val="0"/>
                <w:sz w:val="14"/>
              </w:rPr>
              <w:t>Essential</w:t>
            </w:r>
          </w:p>
        </w:tc>
      </w:tr>
      <w:tr>
        <w:tc>
          <w:tcPr>
            <w:tcW w:type="dxa" w:w="2376"/>
            <w:vAlign w:val="top"/>
          </w:tcPr>
          <w:p>
            <w:pPr>
              <w:jc w:val="left"/>
            </w:pPr>
            <w:r/>
            <w:r>
              <w:rPr>
                <w:rFonts w:ascii="Arial" w:hAnsi="Arial"/>
                <w:b w:val="0"/>
                <w:sz w:val="14"/>
              </w:rPr>
              <w:t>Islamic sīrah reports on Yathrib/Khaybar Jews</w:t>
            </w:r>
          </w:p>
        </w:tc>
        <w:tc>
          <w:tcPr>
            <w:tcW w:type="dxa" w:w="1512"/>
            <w:vAlign w:val="top"/>
          </w:tcPr>
          <w:p>
            <w:pPr>
              <w:jc w:val="left"/>
            </w:pPr>
            <w:r/>
            <w:r>
              <w:rPr>
                <w:rFonts w:ascii="Arial" w:hAnsi="Arial"/>
                <w:b w:val="0"/>
                <w:sz w:val="14"/>
              </w:rPr>
              <w:t>compiled later</w:t>
            </w:r>
          </w:p>
        </w:tc>
        <w:tc>
          <w:tcPr>
            <w:tcW w:type="dxa" w:w="1800"/>
            <w:vAlign w:val="top"/>
          </w:tcPr>
          <w:p>
            <w:pPr>
              <w:jc w:val="left"/>
            </w:pPr>
            <w:r/>
            <w:r>
              <w:rPr>
                <w:rFonts w:ascii="Arial" w:hAnsi="Arial"/>
                <w:b w:val="0"/>
                <w:sz w:val="14"/>
              </w:rPr>
              <w:t>External/community memory</w:t>
            </w:r>
          </w:p>
        </w:tc>
        <w:tc>
          <w:tcPr>
            <w:tcW w:type="dxa" w:w="4248"/>
            <w:vAlign w:val="top"/>
          </w:tcPr>
          <w:p>
            <w:pPr>
              <w:jc w:val="left"/>
            </w:pPr>
            <w:r/>
            <w:r>
              <w:rPr>
                <w:rFonts w:ascii="Arial" w:hAnsi="Arial"/>
                <w:b w:val="0"/>
                <w:sz w:val="14"/>
              </w:rPr>
              <w:t>Important for immediate Islamic context; must be source-distance labelled.</w:t>
            </w:r>
          </w:p>
        </w:tc>
        <w:tc>
          <w:tcPr>
            <w:tcW w:type="dxa" w:w="1008"/>
            <w:vAlign w:val="top"/>
          </w:tcPr>
          <w:p>
            <w:pPr>
              <w:jc w:val="left"/>
            </w:pPr>
            <w:r/>
            <w:r>
              <w:rPr>
                <w:rFonts w:ascii="Arial" w:hAnsi="Arial"/>
                <w:b w:val="0"/>
                <w:sz w:val="14"/>
              </w:rPr>
              <w:t>High but cautious</w:t>
            </w:r>
          </w:p>
        </w:tc>
      </w:tr>
    </w:tbl>
    <w:p>
      <w:pPr>
        <w:pStyle w:val="Heading1"/>
      </w:pPr>
      <w:r>
        <w:t>6. Pre-Islamic Arabian Jewish Layer</w:t>
      </w:r>
    </w:p>
    <w:p>
      <w:r>
        <w:t>This layer is crucial because your Islamic Studies General module needs the Jewish environment near the Qur'an, not only biblical or rabbinic history. Evidence is uneven: South Arabia has inscriptions and external Christian sources; northern Arabia is often known through later Islamic reports and archaeology.</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c>
          <w:tcPr>
            <w:tcW w:type="dxa" w:w="2160"/>
            <w:shd w:fill="1F4E79"/>
          </w:tcPr>
          <w:p>
            <w:pPr>
              <w:jc w:val="left"/>
            </w:pPr>
            <w:r/>
            <w:r>
              <w:rPr>
                <w:rFonts w:ascii="Arial" w:hAnsi="Arial"/>
                <w:b/>
                <w:color w:val="FFFFFF"/>
                <w:sz w:val="16"/>
              </w:rPr>
              <w:t>Sub-region</w:t>
            </w:r>
          </w:p>
        </w:tc>
        <w:tc>
          <w:tcPr>
            <w:tcW w:type="dxa" w:w="2952"/>
            <w:shd w:fill="1F4E79"/>
          </w:tcPr>
          <w:p>
            <w:pPr>
              <w:jc w:val="left"/>
            </w:pPr>
            <w:r/>
            <w:r>
              <w:rPr>
                <w:rFonts w:ascii="Arial" w:hAnsi="Arial"/>
                <w:b/>
                <w:color w:val="FFFFFF"/>
                <w:sz w:val="16"/>
              </w:rPr>
              <w:t>Evidence base</w:t>
            </w:r>
          </w:p>
        </w:tc>
        <w:tc>
          <w:tcPr>
            <w:tcW w:type="dxa" w:w="4824"/>
            <w:shd w:fill="1F4E79"/>
          </w:tcPr>
          <w:p>
            <w:pPr>
              <w:jc w:val="left"/>
            </w:pPr>
            <w:r/>
            <w:r>
              <w:rPr>
                <w:rFonts w:ascii="Arial" w:hAnsi="Arial"/>
                <w:b/>
                <w:color w:val="FFFFFF"/>
                <w:sz w:val="16"/>
              </w:rPr>
              <w:t>What to extract</w:t>
            </w:r>
          </w:p>
        </w:tc>
        <w:tc>
          <w:tcPr>
            <w:tcW w:type="dxa" w:w="1152"/>
            <w:shd w:fill="1F4E79"/>
          </w:tcPr>
          <w:p>
            <w:pPr>
              <w:jc w:val="left"/>
            </w:pPr>
            <w:r/>
            <w:r>
              <w:rPr>
                <w:rFonts w:ascii="Arial" w:hAnsi="Arial"/>
                <w:b/>
                <w:color w:val="FFFFFF"/>
                <w:sz w:val="16"/>
              </w:rPr>
              <w:t>Priority</w:t>
            </w:r>
          </w:p>
        </w:tc>
      </w:tr>
      <w:tr>
        <w:tc>
          <w:tcPr>
            <w:tcW w:type="dxa" w:w="2160"/>
            <w:vAlign w:val="top"/>
          </w:tcPr>
          <w:p>
            <w:pPr>
              <w:jc w:val="left"/>
            </w:pPr>
            <w:r/>
            <w:r>
              <w:rPr>
                <w:rFonts w:ascii="Arial" w:hAnsi="Arial"/>
                <w:b w:val="0"/>
                <w:sz w:val="16"/>
              </w:rPr>
              <w:t>South Arabia / Ḥimyar</w:t>
            </w:r>
          </w:p>
        </w:tc>
        <w:tc>
          <w:tcPr>
            <w:tcW w:type="dxa" w:w="2952"/>
            <w:vAlign w:val="top"/>
          </w:tcPr>
          <w:p>
            <w:pPr>
              <w:jc w:val="left"/>
            </w:pPr>
            <w:r/>
            <w:r>
              <w:rPr>
                <w:rFonts w:ascii="Arial" w:hAnsi="Arial"/>
                <w:b w:val="0"/>
                <w:sz w:val="16"/>
              </w:rPr>
              <w:t>Inscriptions, later Christian/Syriac reports, Islamic memory</w:t>
            </w:r>
          </w:p>
        </w:tc>
        <w:tc>
          <w:tcPr>
            <w:tcW w:type="dxa" w:w="4824"/>
            <w:vAlign w:val="top"/>
          </w:tcPr>
          <w:p>
            <w:pPr>
              <w:jc w:val="left"/>
            </w:pPr>
            <w:r/>
            <w:r>
              <w:rPr>
                <w:rFonts w:ascii="Arial" w:hAnsi="Arial"/>
                <w:b w:val="0"/>
                <w:sz w:val="16"/>
              </w:rPr>
              <w:t>Jewish or Judaizing ruling elite; Raḥmānān vocabulary; conflict with Christian Najrān; Dhu Nuwas/Yūsuf As'ar Yath'ar.</w:t>
            </w:r>
          </w:p>
        </w:tc>
        <w:tc>
          <w:tcPr>
            <w:tcW w:type="dxa" w:w="1152"/>
            <w:vAlign w:val="top"/>
          </w:tcPr>
          <w:p>
            <w:pPr>
              <w:jc w:val="left"/>
            </w:pPr>
            <w:r/>
            <w:r>
              <w:rPr>
                <w:rFonts w:ascii="Arial" w:hAnsi="Arial"/>
                <w:b w:val="0"/>
                <w:sz w:val="16"/>
              </w:rPr>
              <w:t>Very high</w:t>
            </w:r>
          </w:p>
        </w:tc>
      </w:tr>
      <w:tr>
        <w:tc>
          <w:tcPr>
            <w:tcW w:type="dxa" w:w="2160"/>
            <w:vAlign w:val="top"/>
          </w:tcPr>
          <w:p>
            <w:pPr>
              <w:jc w:val="left"/>
            </w:pPr>
            <w:r/>
            <w:r>
              <w:rPr>
                <w:rFonts w:ascii="Arial" w:hAnsi="Arial"/>
                <w:b w:val="0"/>
                <w:sz w:val="16"/>
              </w:rPr>
              <w:t>Najrān</w:t>
            </w:r>
          </w:p>
        </w:tc>
        <w:tc>
          <w:tcPr>
            <w:tcW w:type="dxa" w:w="2952"/>
            <w:vAlign w:val="top"/>
          </w:tcPr>
          <w:p>
            <w:pPr>
              <w:jc w:val="left"/>
            </w:pPr>
            <w:r/>
            <w:r>
              <w:rPr>
                <w:rFonts w:ascii="Arial" w:hAnsi="Arial"/>
                <w:b w:val="0"/>
                <w:sz w:val="16"/>
              </w:rPr>
              <w:t>Christian martyrdom texts, Qur'anic/Islamic memory, archaeology</w:t>
            </w:r>
          </w:p>
        </w:tc>
        <w:tc>
          <w:tcPr>
            <w:tcW w:type="dxa" w:w="4824"/>
            <w:vAlign w:val="top"/>
          </w:tcPr>
          <w:p>
            <w:pPr>
              <w:jc w:val="left"/>
            </w:pPr>
            <w:r/>
            <w:r>
              <w:rPr>
                <w:rFonts w:ascii="Arial" w:hAnsi="Arial"/>
                <w:b w:val="0"/>
                <w:sz w:val="16"/>
              </w:rPr>
              <w:t>Jewish-Christian conflict in Arabia; relevant to late antique monotheistic competition.</w:t>
            </w:r>
          </w:p>
        </w:tc>
        <w:tc>
          <w:tcPr>
            <w:tcW w:type="dxa" w:w="1152"/>
            <w:vAlign w:val="top"/>
          </w:tcPr>
          <w:p>
            <w:pPr>
              <w:jc w:val="left"/>
            </w:pPr>
            <w:r/>
            <w:r>
              <w:rPr>
                <w:rFonts w:ascii="Arial" w:hAnsi="Arial"/>
                <w:b w:val="0"/>
                <w:sz w:val="16"/>
              </w:rPr>
              <w:t>High</w:t>
            </w:r>
          </w:p>
        </w:tc>
      </w:tr>
      <w:tr>
        <w:tc>
          <w:tcPr>
            <w:tcW w:type="dxa" w:w="2160"/>
            <w:vAlign w:val="top"/>
          </w:tcPr>
          <w:p>
            <w:pPr>
              <w:jc w:val="left"/>
            </w:pPr>
            <w:r/>
            <w:r>
              <w:rPr>
                <w:rFonts w:ascii="Arial" w:hAnsi="Arial"/>
                <w:b w:val="0"/>
                <w:sz w:val="16"/>
              </w:rPr>
              <w:t>Yathrib / Medina</w:t>
            </w:r>
          </w:p>
        </w:tc>
        <w:tc>
          <w:tcPr>
            <w:tcW w:type="dxa" w:w="2952"/>
            <w:vAlign w:val="top"/>
          </w:tcPr>
          <w:p>
            <w:pPr>
              <w:jc w:val="left"/>
            </w:pPr>
            <w:r/>
            <w:r>
              <w:rPr>
                <w:rFonts w:ascii="Arial" w:hAnsi="Arial"/>
                <w:b w:val="0"/>
                <w:sz w:val="16"/>
              </w:rPr>
              <w:t>Islamic sīrah, hadith, poetry, archaeology where available</w:t>
            </w:r>
          </w:p>
        </w:tc>
        <w:tc>
          <w:tcPr>
            <w:tcW w:type="dxa" w:w="4824"/>
            <w:vAlign w:val="top"/>
          </w:tcPr>
          <w:p>
            <w:pPr>
              <w:jc w:val="left"/>
            </w:pPr>
            <w:r/>
            <w:r>
              <w:rPr>
                <w:rFonts w:ascii="Arial" w:hAnsi="Arial"/>
                <w:b w:val="0"/>
                <w:sz w:val="16"/>
              </w:rPr>
              <w:t>Banū Qaynuqāʿ, Naḍīr, Qurayẓah; oasis economy, alliances, scripture-bearing communities.</w:t>
            </w:r>
          </w:p>
        </w:tc>
        <w:tc>
          <w:tcPr>
            <w:tcW w:type="dxa" w:w="1152"/>
            <w:vAlign w:val="top"/>
          </w:tcPr>
          <w:p>
            <w:pPr>
              <w:jc w:val="left"/>
            </w:pPr>
            <w:r/>
            <w:r>
              <w:rPr>
                <w:rFonts w:ascii="Arial" w:hAnsi="Arial"/>
                <w:b w:val="0"/>
                <w:sz w:val="16"/>
              </w:rPr>
              <w:t>High but mediated</w:t>
            </w:r>
          </w:p>
        </w:tc>
      </w:tr>
      <w:tr>
        <w:tc>
          <w:tcPr>
            <w:tcW w:type="dxa" w:w="2160"/>
            <w:vAlign w:val="top"/>
          </w:tcPr>
          <w:p>
            <w:pPr>
              <w:jc w:val="left"/>
            </w:pPr>
            <w:r/>
            <w:r>
              <w:rPr>
                <w:rFonts w:ascii="Arial" w:hAnsi="Arial"/>
                <w:b w:val="0"/>
                <w:sz w:val="16"/>
              </w:rPr>
              <w:t>Khaybar / Wādī al-Qurā / Taymāʾ</w:t>
            </w:r>
          </w:p>
        </w:tc>
        <w:tc>
          <w:tcPr>
            <w:tcW w:type="dxa" w:w="2952"/>
            <w:vAlign w:val="top"/>
          </w:tcPr>
          <w:p>
            <w:pPr>
              <w:jc w:val="left"/>
            </w:pPr>
            <w:r/>
            <w:r>
              <w:rPr>
                <w:rFonts w:ascii="Arial" w:hAnsi="Arial"/>
                <w:b w:val="0"/>
                <w:sz w:val="16"/>
              </w:rPr>
              <w:t>Islamic reports, inscriptions, archaeology</w:t>
            </w:r>
          </w:p>
        </w:tc>
        <w:tc>
          <w:tcPr>
            <w:tcW w:type="dxa" w:w="4824"/>
            <w:vAlign w:val="top"/>
          </w:tcPr>
          <w:p>
            <w:pPr>
              <w:jc w:val="left"/>
            </w:pPr>
            <w:r/>
            <w:r>
              <w:rPr>
                <w:rFonts w:ascii="Arial" w:hAnsi="Arial"/>
                <w:b w:val="0"/>
                <w:sz w:val="16"/>
              </w:rPr>
              <w:t>Northern Arabian Jewish settlement memory; agriculture, fortresses, tribal economy.</w:t>
            </w:r>
          </w:p>
        </w:tc>
        <w:tc>
          <w:tcPr>
            <w:tcW w:type="dxa" w:w="1152"/>
            <w:vAlign w:val="top"/>
          </w:tcPr>
          <w:p>
            <w:pPr>
              <w:jc w:val="left"/>
            </w:pPr>
            <w:r/>
            <w:r>
              <w:rPr>
                <w:rFonts w:ascii="Arial" w:hAnsi="Arial"/>
                <w:b w:val="0"/>
                <w:sz w:val="16"/>
              </w:rPr>
              <w:t>Medium-high</w:t>
            </w:r>
          </w:p>
        </w:tc>
      </w:tr>
      <w:tr>
        <w:tc>
          <w:tcPr>
            <w:tcW w:type="dxa" w:w="2160"/>
            <w:vAlign w:val="top"/>
          </w:tcPr>
          <w:p>
            <w:pPr>
              <w:jc w:val="left"/>
            </w:pPr>
            <w:r/>
            <w:r>
              <w:rPr>
                <w:rFonts w:ascii="Arial" w:hAnsi="Arial"/>
                <w:b w:val="0"/>
                <w:sz w:val="16"/>
              </w:rPr>
              <w:t>Arabian divine names and monotheism</w:t>
            </w:r>
          </w:p>
        </w:tc>
        <w:tc>
          <w:tcPr>
            <w:tcW w:type="dxa" w:w="2952"/>
            <w:vAlign w:val="top"/>
          </w:tcPr>
          <w:p>
            <w:pPr>
              <w:jc w:val="left"/>
            </w:pPr>
            <w:r/>
            <w:r>
              <w:rPr>
                <w:rFonts w:ascii="Arial" w:hAnsi="Arial"/>
                <w:b w:val="0"/>
                <w:sz w:val="16"/>
              </w:rPr>
              <w:t>Epigraphy and comparative Semitic evidence</w:t>
            </w:r>
          </w:p>
        </w:tc>
        <w:tc>
          <w:tcPr>
            <w:tcW w:type="dxa" w:w="4824"/>
            <w:vAlign w:val="top"/>
          </w:tcPr>
          <w:p>
            <w:pPr>
              <w:jc w:val="left"/>
            </w:pPr>
            <w:r/>
            <w:r>
              <w:rPr>
                <w:rFonts w:ascii="Arial" w:hAnsi="Arial"/>
                <w:b w:val="0"/>
                <w:sz w:val="16"/>
              </w:rPr>
              <w:t>Raḥmānān / al-Raḥmān background; biblicalized monotheism in South Arabia before Islam.</w:t>
            </w:r>
          </w:p>
        </w:tc>
        <w:tc>
          <w:tcPr>
            <w:tcW w:type="dxa" w:w="1152"/>
            <w:vAlign w:val="top"/>
          </w:tcPr>
          <w:p>
            <w:pPr>
              <w:jc w:val="left"/>
            </w:pPr>
            <w:r/>
            <w:r>
              <w:rPr>
                <w:rFonts w:ascii="Arial" w:hAnsi="Arial"/>
                <w:b w:val="0"/>
                <w:sz w:val="16"/>
              </w:rPr>
              <w:t>High</w:t>
            </w:r>
          </w:p>
        </w:tc>
      </w:tr>
    </w:tbl>
    <w:p>
      <w:pPr>
        <w:pStyle w:val="Heading1"/>
      </w:pPr>
      <w:r>
        <w:t>7. Thought and Community Themes to Extract</w:t>
      </w:r>
    </w:p>
    <w:p>
      <w:r>
        <w:t>The purpose of this module is not only “history facts.” It should build a worldview map: how a religious community forms, remembers, argues, preserves scripture, handles exile, interprets law, defines purity, and imagines the end of history.</w:t>
      </w:r>
    </w:p>
    <w:tbl>
      <w:tblPr>
        <w:tblStyle w:val="TableGrid"/>
        <w:tblW w:type="auto" w:w="0"/>
        <w:jc w:val="center"/>
        <w:tblLayout w:type="autofit"/>
        <w:tblLook w:firstColumn="1" w:firstRow="1" w:lastColumn="0" w:lastRow="0" w:noHBand="0" w:noVBand="1" w:val="04A0"/>
      </w:tblPr>
      <w:tblGrid>
        <w:gridCol w:w="3552"/>
        <w:gridCol w:w="3552"/>
        <w:gridCol w:w="3552"/>
      </w:tblGrid>
      <w:tr>
        <w:tc>
          <w:tcPr>
            <w:tcW w:type="dxa" w:w="2376"/>
            <w:shd w:fill="1F4E79"/>
          </w:tcPr>
          <w:p>
            <w:pPr>
              <w:jc w:val="left"/>
            </w:pPr>
            <w:r/>
            <w:r>
              <w:rPr>
                <w:rFonts w:ascii="Arial" w:hAnsi="Arial"/>
                <w:b/>
                <w:color w:val="FFFFFF"/>
                <w:sz w:val="16"/>
              </w:rPr>
              <w:t>Theme</w:t>
            </w:r>
          </w:p>
        </w:tc>
        <w:tc>
          <w:tcPr>
            <w:tcW w:type="dxa" w:w="4464"/>
            <w:shd w:fill="1F4E79"/>
          </w:tcPr>
          <w:p>
            <w:pPr>
              <w:jc w:val="left"/>
            </w:pPr>
            <w:r/>
            <w:r>
              <w:rPr>
                <w:rFonts w:ascii="Arial" w:hAnsi="Arial"/>
                <w:b/>
                <w:color w:val="FFFFFF"/>
                <w:sz w:val="16"/>
              </w:rPr>
              <w:t>Extract</w:t>
            </w:r>
          </w:p>
        </w:tc>
        <w:tc>
          <w:tcPr>
            <w:tcW w:type="dxa" w:w="3744"/>
            <w:shd w:fill="1F4E79"/>
          </w:tcPr>
          <w:p>
            <w:pPr>
              <w:jc w:val="left"/>
            </w:pPr>
            <w:r/>
            <w:r>
              <w:rPr>
                <w:rFonts w:ascii="Arial" w:hAnsi="Arial"/>
                <w:b/>
                <w:color w:val="FFFFFF"/>
                <w:sz w:val="16"/>
              </w:rPr>
              <w:t>Target k-maps tables</w:t>
            </w:r>
          </w:p>
        </w:tc>
      </w:tr>
      <w:tr>
        <w:tc>
          <w:tcPr>
            <w:tcW w:type="dxa" w:w="2376"/>
            <w:vAlign w:val="top"/>
          </w:tcPr>
          <w:p>
            <w:pPr>
              <w:jc w:val="left"/>
            </w:pPr>
            <w:r/>
            <w:r>
              <w:rPr>
                <w:rFonts w:ascii="Arial" w:hAnsi="Arial"/>
                <w:b w:val="0"/>
                <w:sz w:val="16"/>
              </w:rPr>
              <w:t>Covenant and election</w:t>
            </w:r>
          </w:p>
        </w:tc>
        <w:tc>
          <w:tcPr>
            <w:tcW w:type="dxa" w:w="4464"/>
            <w:vAlign w:val="top"/>
          </w:tcPr>
          <w:p>
            <w:pPr>
              <w:jc w:val="left"/>
            </w:pPr>
            <w:r/>
            <w:r>
              <w:rPr>
                <w:rFonts w:ascii="Arial" w:hAnsi="Arial"/>
                <w:b w:val="0"/>
                <w:sz w:val="16"/>
              </w:rPr>
              <w:t>God-Israel covenant, chosenness, responsibility, punishment/restoration.</w:t>
            </w:r>
          </w:p>
        </w:tc>
        <w:tc>
          <w:tcPr>
            <w:tcW w:type="dxa" w:w="3744"/>
            <w:vAlign w:val="top"/>
          </w:tcPr>
          <w:p>
            <w:pPr>
              <w:jc w:val="left"/>
            </w:pPr>
            <w:r/>
            <w:r>
              <w:rPr>
                <w:rFonts w:ascii="Arial" w:hAnsi="Arial"/>
                <w:b w:val="0"/>
                <w:sz w:val="16"/>
              </w:rPr>
              <w:t>wv_covenant_frameworks, wv_divine_human_relations, wv_claims</w:t>
            </w:r>
          </w:p>
        </w:tc>
      </w:tr>
      <w:tr>
        <w:tc>
          <w:tcPr>
            <w:tcW w:type="dxa" w:w="2376"/>
            <w:vAlign w:val="top"/>
          </w:tcPr>
          <w:p>
            <w:pPr>
              <w:jc w:val="left"/>
            </w:pPr>
            <w:r/>
            <w:r>
              <w:rPr>
                <w:rFonts w:ascii="Arial" w:hAnsi="Arial"/>
                <w:b w:val="0"/>
                <w:sz w:val="16"/>
              </w:rPr>
              <w:t>Prophecy and revelation</w:t>
            </w:r>
          </w:p>
        </w:tc>
        <w:tc>
          <w:tcPr>
            <w:tcW w:type="dxa" w:w="4464"/>
            <w:vAlign w:val="top"/>
          </w:tcPr>
          <w:p>
            <w:pPr>
              <w:jc w:val="left"/>
            </w:pPr>
            <w:r/>
            <w:r>
              <w:rPr>
                <w:rFonts w:ascii="Arial" w:hAnsi="Arial"/>
                <w:b w:val="0"/>
                <w:sz w:val="16"/>
              </w:rPr>
              <w:t>Prophetic critique, scripture, divine speech, scribal preservation.</w:t>
            </w:r>
          </w:p>
        </w:tc>
        <w:tc>
          <w:tcPr>
            <w:tcW w:type="dxa" w:w="3744"/>
            <w:vAlign w:val="top"/>
          </w:tcPr>
          <w:p>
            <w:pPr>
              <w:jc w:val="left"/>
            </w:pPr>
            <w:r/>
            <w:r>
              <w:rPr>
                <w:rFonts w:ascii="Arial" w:hAnsi="Arial"/>
                <w:b w:val="0"/>
                <w:sz w:val="16"/>
              </w:rPr>
              <w:t>wv_revelation_models, wv_authority_models</w:t>
            </w:r>
          </w:p>
        </w:tc>
      </w:tr>
      <w:tr>
        <w:tc>
          <w:tcPr>
            <w:tcW w:type="dxa" w:w="2376"/>
            <w:vAlign w:val="top"/>
          </w:tcPr>
          <w:p>
            <w:pPr>
              <w:jc w:val="left"/>
            </w:pPr>
            <w:r/>
            <w:r>
              <w:rPr>
                <w:rFonts w:ascii="Arial" w:hAnsi="Arial"/>
                <w:b w:val="0"/>
                <w:sz w:val="16"/>
              </w:rPr>
              <w:t>Law and moral order</w:t>
            </w:r>
          </w:p>
        </w:tc>
        <w:tc>
          <w:tcPr>
            <w:tcW w:type="dxa" w:w="4464"/>
            <w:vAlign w:val="top"/>
          </w:tcPr>
          <w:p>
            <w:pPr>
              <w:jc w:val="left"/>
            </w:pPr>
            <w:r/>
            <w:r>
              <w:rPr>
                <w:rFonts w:ascii="Arial" w:hAnsi="Arial"/>
                <w:b w:val="0"/>
                <w:sz w:val="16"/>
              </w:rPr>
              <w:t>Torah as community norm; law as identity formation; justice, charity, purity.</w:t>
            </w:r>
          </w:p>
        </w:tc>
        <w:tc>
          <w:tcPr>
            <w:tcW w:type="dxa" w:w="3744"/>
            <w:vAlign w:val="top"/>
          </w:tcPr>
          <w:p>
            <w:pPr>
              <w:jc w:val="left"/>
            </w:pPr>
            <w:r/>
            <w:r>
              <w:rPr>
                <w:rFonts w:ascii="Arial" w:hAnsi="Arial"/>
                <w:b w:val="0"/>
                <w:sz w:val="16"/>
              </w:rPr>
              <w:t>wv_moral_norms, wv_law_morality_links, wv_practices</w:t>
            </w:r>
          </w:p>
        </w:tc>
      </w:tr>
      <w:tr>
        <w:tc>
          <w:tcPr>
            <w:tcW w:type="dxa" w:w="2376"/>
            <w:vAlign w:val="top"/>
          </w:tcPr>
          <w:p>
            <w:pPr>
              <w:jc w:val="left"/>
            </w:pPr>
            <w:r/>
            <w:r>
              <w:rPr>
                <w:rFonts w:ascii="Arial" w:hAnsi="Arial"/>
                <w:b w:val="0"/>
                <w:sz w:val="16"/>
              </w:rPr>
              <w:t>Temple, sacrifice, and post-Temple replacement</w:t>
            </w:r>
          </w:p>
        </w:tc>
        <w:tc>
          <w:tcPr>
            <w:tcW w:type="dxa" w:w="4464"/>
            <w:vAlign w:val="top"/>
          </w:tcPr>
          <w:p>
            <w:pPr>
              <w:jc w:val="left"/>
            </w:pPr>
            <w:r/>
            <w:r>
              <w:rPr>
                <w:rFonts w:ascii="Arial" w:hAnsi="Arial"/>
                <w:b w:val="0"/>
                <w:sz w:val="16"/>
              </w:rPr>
              <w:t>Temple centrality, destruction, prayer/study as replacement forms.</w:t>
            </w:r>
          </w:p>
        </w:tc>
        <w:tc>
          <w:tcPr>
            <w:tcW w:type="dxa" w:w="3744"/>
            <w:vAlign w:val="top"/>
          </w:tcPr>
          <w:p>
            <w:pPr>
              <w:jc w:val="left"/>
            </w:pPr>
            <w:r/>
            <w:r>
              <w:rPr>
                <w:rFonts w:ascii="Arial" w:hAnsi="Arial"/>
                <w:b w:val="0"/>
                <w:sz w:val="16"/>
              </w:rPr>
              <w:t>wv_institutions, wv_transition_sequences</w:t>
            </w:r>
          </w:p>
        </w:tc>
      </w:tr>
      <w:tr>
        <w:tc>
          <w:tcPr>
            <w:tcW w:type="dxa" w:w="2376"/>
            <w:vAlign w:val="top"/>
          </w:tcPr>
          <w:p>
            <w:pPr>
              <w:jc w:val="left"/>
            </w:pPr>
            <w:r/>
            <w:r>
              <w:rPr>
                <w:rFonts w:ascii="Arial" w:hAnsi="Arial"/>
                <w:b w:val="0"/>
                <w:sz w:val="16"/>
              </w:rPr>
              <w:t>Exile and diaspora</w:t>
            </w:r>
          </w:p>
        </w:tc>
        <w:tc>
          <w:tcPr>
            <w:tcW w:type="dxa" w:w="4464"/>
            <w:vAlign w:val="top"/>
          </w:tcPr>
          <w:p>
            <w:pPr>
              <w:jc w:val="left"/>
            </w:pPr>
            <w:r/>
            <w:r>
              <w:rPr>
                <w:rFonts w:ascii="Arial" w:hAnsi="Arial"/>
                <w:b w:val="0"/>
                <w:sz w:val="16"/>
              </w:rPr>
              <w:t>Community survival outside land; identity without sovereignty.</w:t>
            </w:r>
          </w:p>
        </w:tc>
        <w:tc>
          <w:tcPr>
            <w:tcW w:type="dxa" w:w="3744"/>
            <w:vAlign w:val="top"/>
          </w:tcPr>
          <w:p>
            <w:pPr>
              <w:jc w:val="left"/>
            </w:pPr>
            <w:r/>
            <w:r>
              <w:rPr>
                <w:rFonts w:ascii="Arial" w:hAnsi="Arial"/>
                <w:b w:val="0"/>
                <w:sz w:val="16"/>
              </w:rPr>
              <w:t>wv_events, wv_geocultural_zones, wv_identity_regimes</w:t>
            </w:r>
          </w:p>
        </w:tc>
      </w:tr>
      <w:tr>
        <w:tc>
          <w:tcPr>
            <w:tcW w:type="dxa" w:w="2376"/>
            <w:vAlign w:val="top"/>
          </w:tcPr>
          <w:p>
            <w:pPr>
              <w:jc w:val="left"/>
            </w:pPr>
            <w:r/>
            <w:r>
              <w:rPr>
                <w:rFonts w:ascii="Arial" w:hAnsi="Arial"/>
                <w:b w:val="0"/>
                <w:sz w:val="16"/>
              </w:rPr>
              <w:t>Apocalyptic and judgement</w:t>
            </w:r>
          </w:p>
        </w:tc>
        <w:tc>
          <w:tcPr>
            <w:tcW w:type="dxa" w:w="4464"/>
            <w:vAlign w:val="top"/>
          </w:tcPr>
          <w:p>
            <w:pPr>
              <w:jc w:val="left"/>
            </w:pPr>
            <w:r/>
            <w:r>
              <w:rPr>
                <w:rFonts w:ascii="Arial" w:hAnsi="Arial"/>
                <w:b w:val="0"/>
                <w:sz w:val="16"/>
              </w:rPr>
              <w:t>End-times, resurrection, angels, cosmic conflict, final judgement.</w:t>
            </w:r>
          </w:p>
        </w:tc>
        <w:tc>
          <w:tcPr>
            <w:tcW w:type="dxa" w:w="3744"/>
            <w:vAlign w:val="top"/>
          </w:tcPr>
          <w:p>
            <w:pPr>
              <w:jc w:val="left"/>
            </w:pPr>
            <w:r/>
            <w:r>
              <w:rPr>
                <w:rFonts w:ascii="Arial" w:hAnsi="Arial"/>
                <w:b w:val="0"/>
                <w:sz w:val="16"/>
              </w:rPr>
              <w:t>wv_revelation_models, wv_narrative_scripts</w:t>
            </w:r>
          </w:p>
        </w:tc>
      </w:tr>
      <w:tr>
        <w:tc>
          <w:tcPr>
            <w:tcW w:type="dxa" w:w="2376"/>
            <w:vAlign w:val="top"/>
          </w:tcPr>
          <w:p>
            <w:pPr>
              <w:jc w:val="left"/>
            </w:pPr>
            <w:r/>
            <w:r>
              <w:rPr>
                <w:rFonts w:ascii="Arial" w:hAnsi="Arial"/>
                <w:b w:val="0"/>
                <w:sz w:val="16"/>
              </w:rPr>
              <w:t>Wisdom and ethics</w:t>
            </w:r>
          </w:p>
        </w:tc>
        <w:tc>
          <w:tcPr>
            <w:tcW w:type="dxa" w:w="4464"/>
            <w:vAlign w:val="top"/>
          </w:tcPr>
          <w:p>
            <w:pPr>
              <w:jc w:val="left"/>
            </w:pPr>
            <w:r/>
            <w:r>
              <w:rPr>
                <w:rFonts w:ascii="Arial" w:hAnsi="Arial"/>
                <w:b w:val="0"/>
                <w:sz w:val="16"/>
              </w:rPr>
              <w:t>Character, discipline, speech, humility, wealth, charity, family.</w:t>
            </w:r>
          </w:p>
        </w:tc>
        <w:tc>
          <w:tcPr>
            <w:tcW w:type="dxa" w:w="3744"/>
            <w:vAlign w:val="top"/>
          </w:tcPr>
          <w:p>
            <w:pPr>
              <w:jc w:val="left"/>
            </w:pPr>
            <w:r/>
            <w:r>
              <w:rPr>
                <w:rFonts w:ascii="Arial" w:hAnsi="Arial"/>
                <w:b w:val="0"/>
                <w:sz w:val="16"/>
              </w:rPr>
              <w:t>wv_virtue_profiles, wv_vice_profiles, wv_moral_axes</w:t>
            </w:r>
          </w:p>
        </w:tc>
      </w:tr>
      <w:tr>
        <w:tc>
          <w:tcPr>
            <w:tcW w:type="dxa" w:w="2376"/>
            <w:vAlign w:val="top"/>
          </w:tcPr>
          <w:p>
            <w:pPr>
              <w:jc w:val="left"/>
            </w:pPr>
            <w:r/>
            <w:r>
              <w:rPr>
                <w:rFonts w:ascii="Arial" w:hAnsi="Arial"/>
                <w:b w:val="0"/>
                <w:sz w:val="16"/>
              </w:rPr>
              <w:t>Rabbinic authority and debate</w:t>
            </w:r>
          </w:p>
        </w:tc>
        <w:tc>
          <w:tcPr>
            <w:tcW w:type="dxa" w:w="4464"/>
            <w:vAlign w:val="top"/>
          </w:tcPr>
          <w:p>
            <w:pPr>
              <w:jc w:val="left"/>
            </w:pPr>
            <w:r/>
            <w:r>
              <w:rPr>
                <w:rFonts w:ascii="Arial" w:hAnsi="Arial"/>
                <w:b w:val="0"/>
                <w:sz w:val="16"/>
              </w:rPr>
              <w:t>Teacher-disciple chains, schools, oral Torah, argument as preservation.</w:t>
            </w:r>
          </w:p>
        </w:tc>
        <w:tc>
          <w:tcPr>
            <w:tcW w:type="dxa" w:w="3744"/>
            <w:vAlign w:val="top"/>
          </w:tcPr>
          <w:p>
            <w:pPr>
              <w:jc w:val="left"/>
            </w:pPr>
            <w:r/>
            <w:r>
              <w:rPr>
                <w:rFonts w:ascii="Arial" w:hAnsi="Arial"/>
                <w:b w:val="0"/>
                <w:sz w:val="16"/>
              </w:rPr>
              <w:t>wv_schools, wv_authority_models, wv_argument_relations</w:t>
            </w:r>
          </w:p>
        </w:tc>
      </w:tr>
      <w:tr>
        <w:tc>
          <w:tcPr>
            <w:tcW w:type="dxa" w:w="2376"/>
            <w:vAlign w:val="top"/>
          </w:tcPr>
          <w:p>
            <w:pPr>
              <w:jc w:val="left"/>
            </w:pPr>
            <w:r/>
            <w:r>
              <w:rPr>
                <w:rFonts w:ascii="Arial" w:hAnsi="Arial"/>
                <w:b w:val="0"/>
                <w:sz w:val="16"/>
              </w:rPr>
              <w:t>Jewish-Christian polemical environment</w:t>
            </w:r>
          </w:p>
        </w:tc>
        <w:tc>
          <w:tcPr>
            <w:tcW w:type="dxa" w:w="4464"/>
            <w:vAlign w:val="top"/>
          </w:tcPr>
          <w:p>
            <w:pPr>
              <w:jc w:val="left"/>
            </w:pPr>
            <w:r/>
            <w:r>
              <w:rPr>
                <w:rFonts w:ascii="Arial" w:hAnsi="Arial"/>
                <w:b w:val="0"/>
                <w:sz w:val="16"/>
              </w:rPr>
              <w:t>Messiah, law, scripture interpretation, community boundaries.</w:t>
            </w:r>
          </w:p>
        </w:tc>
        <w:tc>
          <w:tcPr>
            <w:tcW w:type="dxa" w:w="3744"/>
            <w:vAlign w:val="top"/>
          </w:tcPr>
          <w:p>
            <w:pPr>
              <w:jc w:val="left"/>
            </w:pPr>
            <w:r/>
            <w:r>
              <w:rPr>
                <w:rFonts w:ascii="Arial" w:hAnsi="Arial"/>
                <w:b w:val="0"/>
                <w:sz w:val="16"/>
              </w:rPr>
              <w:t>wv_debate_clusters, wv_comparisons</w:t>
            </w:r>
          </w:p>
        </w:tc>
      </w:tr>
      <w:tr>
        <w:tc>
          <w:tcPr>
            <w:tcW w:type="dxa" w:w="2376"/>
            <w:vAlign w:val="top"/>
          </w:tcPr>
          <w:p>
            <w:pPr>
              <w:jc w:val="left"/>
            </w:pPr>
            <w:r/>
            <w:r>
              <w:rPr>
                <w:rFonts w:ascii="Arial" w:hAnsi="Arial"/>
                <w:b w:val="0"/>
                <w:sz w:val="16"/>
              </w:rPr>
              <w:t>Arabian Jewish presence</w:t>
            </w:r>
          </w:p>
        </w:tc>
        <w:tc>
          <w:tcPr>
            <w:tcW w:type="dxa" w:w="4464"/>
            <w:vAlign w:val="top"/>
          </w:tcPr>
          <w:p>
            <w:pPr>
              <w:jc w:val="left"/>
            </w:pPr>
            <w:r/>
            <w:r>
              <w:rPr>
                <w:rFonts w:ascii="Arial" w:hAnsi="Arial"/>
                <w:b w:val="0"/>
                <w:sz w:val="16"/>
              </w:rPr>
              <w:t>Oasis communities, Ḥimyar, Raḥmānān, alliances, trade/agriculture.</w:t>
            </w:r>
          </w:p>
        </w:tc>
        <w:tc>
          <w:tcPr>
            <w:tcW w:type="dxa" w:w="3744"/>
            <w:vAlign w:val="top"/>
          </w:tcPr>
          <w:p>
            <w:pPr>
              <w:jc w:val="left"/>
            </w:pPr>
            <w:r/>
            <w:r>
              <w:rPr>
                <w:rFonts w:ascii="Arial" w:hAnsi="Arial"/>
                <w:b w:val="0"/>
                <w:sz w:val="16"/>
              </w:rPr>
              <w:t>wv_events, wv_locations, wv_source_chunks</w:t>
            </w:r>
          </w:p>
        </w:tc>
      </w:tr>
    </w:tbl>
    <w:p>
      <w:pPr>
        <w:pStyle w:val="Heading1"/>
      </w:pPr>
      <w:r>
        <w:t>8. k-maps Data Model and Table Mapping</w:t>
      </w:r>
    </w:p>
    <w:p>
      <w:r>
        <w:t>This source family should sit in km_worldview. It should link to Qur'anic passages only when a concrete bridge exists, for example covenant, Banī Isrāʾīl, Torah, Sabbath, Mary/Jesus environment, or late antique monotheism.</w:t>
      </w:r>
    </w:p>
    <w:tbl>
      <w:tblPr>
        <w:tblStyle w:val="TableGrid"/>
        <w:tblW w:type="auto" w:w="0"/>
        <w:jc w:val="center"/>
        <w:tblLayout w:type="autofit"/>
        <w:tblLook w:firstColumn="1" w:firstRow="1" w:lastColumn="0" w:lastRow="0" w:noHBand="0" w:noVBand="1" w:val="04A0"/>
      </w:tblPr>
      <w:tblGrid>
        <w:gridCol w:w="5328"/>
        <w:gridCol w:w="5328"/>
      </w:tblGrid>
      <w:tr>
        <w:tc>
          <w:tcPr>
            <w:tcW w:type="dxa" w:w="2952"/>
            <w:shd w:fill="1F4E79"/>
          </w:tcPr>
          <w:p>
            <w:pPr>
              <w:jc w:val="left"/>
            </w:pPr>
            <w:r/>
            <w:r>
              <w:rPr>
                <w:rFonts w:ascii="Arial" w:hAnsi="Arial"/>
                <w:b/>
                <w:color w:val="FFFFFF"/>
                <w:sz w:val="16"/>
              </w:rPr>
              <w:t>Table</w:t>
            </w:r>
          </w:p>
        </w:tc>
        <w:tc>
          <w:tcPr>
            <w:tcW w:type="dxa" w:w="7488"/>
            <w:shd w:fill="1F4E79"/>
          </w:tcPr>
          <w:p>
            <w:pPr>
              <w:jc w:val="left"/>
            </w:pPr>
            <w:r/>
            <w:r>
              <w:rPr>
                <w:rFonts w:ascii="Arial" w:hAnsi="Arial"/>
                <w:b/>
                <w:color w:val="FFFFFF"/>
                <w:sz w:val="16"/>
              </w:rPr>
              <w:t>Use</w:t>
            </w:r>
          </w:p>
        </w:tc>
      </w:tr>
      <w:tr>
        <w:tc>
          <w:tcPr>
            <w:tcW w:type="dxa" w:w="2952"/>
            <w:vAlign w:val="top"/>
          </w:tcPr>
          <w:p>
            <w:pPr>
              <w:jc w:val="left"/>
            </w:pPr>
            <w:r/>
            <w:r>
              <w:rPr>
                <w:rFonts w:ascii="Arial" w:hAnsi="Arial"/>
                <w:b w:val="0"/>
                <w:sz w:val="16"/>
              </w:rPr>
              <w:t>wv_sources</w:t>
            </w:r>
          </w:p>
        </w:tc>
        <w:tc>
          <w:tcPr>
            <w:tcW w:type="dxa" w:w="7488"/>
            <w:vAlign w:val="top"/>
          </w:tcPr>
          <w:p>
            <w:pPr>
              <w:jc w:val="left"/>
            </w:pPr>
            <w:r/>
            <w:r>
              <w:rPr>
                <w:rFonts w:ascii="Arial" w:hAnsi="Arial"/>
                <w:b w:val="0"/>
                <w:sz w:val="16"/>
              </w:rPr>
              <w:t>Register each source work: Tanakh, DSS, Josephus, Mishnah, Talmud, Himyar inscriptions, modern scholarship.</w:t>
            </w:r>
          </w:p>
        </w:tc>
      </w:tr>
      <w:tr>
        <w:tc>
          <w:tcPr>
            <w:tcW w:type="dxa" w:w="2952"/>
            <w:vAlign w:val="top"/>
          </w:tcPr>
          <w:p>
            <w:pPr>
              <w:jc w:val="left"/>
            </w:pPr>
            <w:r/>
            <w:r>
              <w:rPr>
                <w:rFonts w:ascii="Arial" w:hAnsi="Arial"/>
                <w:b w:val="0"/>
                <w:sz w:val="16"/>
              </w:rPr>
              <w:t>wv_source_units</w:t>
            </w:r>
          </w:p>
        </w:tc>
        <w:tc>
          <w:tcPr>
            <w:tcW w:type="dxa" w:w="7488"/>
            <w:vAlign w:val="top"/>
          </w:tcPr>
          <w:p>
            <w:pPr>
              <w:jc w:val="left"/>
            </w:pPr>
            <w:r/>
            <w:r>
              <w:rPr>
                <w:rFonts w:ascii="Arial" w:hAnsi="Arial"/>
                <w:b w:val="0"/>
                <w:sz w:val="16"/>
              </w:rPr>
              <w:t>Book, tractate, chapter, scroll, inscription, papyrus, section, or article-level unit.</w:t>
            </w:r>
          </w:p>
        </w:tc>
      </w:tr>
      <w:tr>
        <w:tc>
          <w:tcPr>
            <w:tcW w:type="dxa" w:w="2952"/>
            <w:vAlign w:val="top"/>
          </w:tcPr>
          <w:p>
            <w:pPr>
              <w:jc w:val="left"/>
            </w:pPr>
            <w:r/>
            <w:r>
              <w:rPr>
                <w:rFonts w:ascii="Arial" w:hAnsi="Arial"/>
                <w:b w:val="0"/>
                <w:sz w:val="16"/>
              </w:rPr>
              <w:t>wv_source_chunks</w:t>
            </w:r>
          </w:p>
        </w:tc>
        <w:tc>
          <w:tcPr>
            <w:tcW w:type="dxa" w:w="7488"/>
            <w:vAlign w:val="top"/>
          </w:tcPr>
          <w:p>
            <w:pPr>
              <w:jc w:val="left"/>
            </w:pPr>
            <w:r/>
            <w:r>
              <w:rPr>
                <w:rFonts w:ascii="Arial" w:hAnsi="Arial"/>
                <w:b w:val="0"/>
                <w:sz w:val="16"/>
              </w:rPr>
              <w:t>Chunked text for retrieval, embedding, and citation; include language, translator, edition, and license.</w:t>
            </w:r>
          </w:p>
        </w:tc>
      </w:tr>
      <w:tr>
        <w:tc>
          <w:tcPr>
            <w:tcW w:type="dxa" w:w="2952"/>
            <w:vAlign w:val="top"/>
          </w:tcPr>
          <w:p>
            <w:pPr>
              <w:jc w:val="left"/>
            </w:pPr>
            <w:r/>
            <w:r>
              <w:rPr>
                <w:rFonts w:ascii="Arial" w:hAnsi="Arial"/>
                <w:b w:val="0"/>
                <w:sz w:val="16"/>
              </w:rPr>
              <w:t>wv_scriptural_corpora</w:t>
            </w:r>
          </w:p>
        </w:tc>
        <w:tc>
          <w:tcPr>
            <w:tcW w:type="dxa" w:w="7488"/>
            <w:vAlign w:val="top"/>
          </w:tcPr>
          <w:p>
            <w:pPr>
              <w:jc w:val="left"/>
            </w:pPr>
            <w:r/>
            <w:r>
              <w:rPr>
                <w:rFonts w:ascii="Arial" w:hAnsi="Arial"/>
                <w:b w:val="0"/>
                <w:sz w:val="16"/>
              </w:rPr>
              <w:t>Tanakh, Septuagint, Dead Sea Scrolls biblical witnesses, Apocrypha, rabbinic corpora.</w:t>
            </w:r>
          </w:p>
        </w:tc>
      </w:tr>
      <w:tr>
        <w:tc>
          <w:tcPr>
            <w:tcW w:type="dxa" w:w="2952"/>
            <w:vAlign w:val="top"/>
          </w:tcPr>
          <w:p>
            <w:pPr>
              <w:jc w:val="left"/>
            </w:pPr>
            <w:r/>
            <w:r>
              <w:rPr>
                <w:rFonts w:ascii="Arial" w:hAnsi="Arial"/>
                <w:b w:val="0"/>
                <w:sz w:val="16"/>
              </w:rPr>
              <w:t>wv_periods / wv_century_profiles</w:t>
            </w:r>
          </w:p>
        </w:tc>
        <w:tc>
          <w:tcPr>
            <w:tcW w:type="dxa" w:w="7488"/>
            <w:vAlign w:val="top"/>
          </w:tcPr>
          <w:p>
            <w:pPr>
              <w:jc w:val="left"/>
            </w:pPr>
            <w:r/>
            <w:r>
              <w:rPr>
                <w:rFonts w:ascii="Arial" w:hAnsi="Arial"/>
                <w:b w:val="0"/>
                <w:sz w:val="16"/>
              </w:rPr>
              <w:t>Historical periods and century summaries: Second Temple, Tannaitic, Amoraic, Late Antique Arabia.</w:t>
            </w:r>
          </w:p>
        </w:tc>
      </w:tr>
      <w:tr>
        <w:tc>
          <w:tcPr>
            <w:tcW w:type="dxa" w:w="2952"/>
            <w:vAlign w:val="top"/>
          </w:tcPr>
          <w:p>
            <w:pPr>
              <w:jc w:val="left"/>
            </w:pPr>
            <w:r/>
            <w:r>
              <w:rPr>
                <w:rFonts w:ascii="Arial" w:hAnsi="Arial"/>
                <w:b w:val="0"/>
                <w:sz w:val="16"/>
              </w:rPr>
              <w:t>wv_events / wv_timeline_events</w:t>
            </w:r>
          </w:p>
        </w:tc>
        <w:tc>
          <w:tcPr>
            <w:tcW w:type="dxa" w:w="7488"/>
            <w:vAlign w:val="top"/>
          </w:tcPr>
          <w:p>
            <w:pPr>
              <w:jc w:val="left"/>
            </w:pPr>
            <w:r/>
            <w:r>
              <w:rPr>
                <w:rFonts w:ascii="Arial" w:hAnsi="Arial"/>
                <w:b w:val="0"/>
                <w:sz w:val="16"/>
              </w:rPr>
              <w:t>Exile, return, Maccabean revolt, temple destruction, Mishnah redaction, Ḥimyar conversion/conflict.</w:t>
            </w:r>
          </w:p>
        </w:tc>
      </w:tr>
      <w:tr>
        <w:tc>
          <w:tcPr>
            <w:tcW w:type="dxa" w:w="2952"/>
            <w:vAlign w:val="top"/>
          </w:tcPr>
          <w:p>
            <w:pPr>
              <w:jc w:val="left"/>
            </w:pPr>
            <w:r/>
            <w:r>
              <w:rPr>
                <w:rFonts w:ascii="Arial" w:hAnsi="Arial"/>
                <w:b w:val="0"/>
                <w:sz w:val="16"/>
              </w:rPr>
              <w:t>wv_people / wv_schools</w:t>
            </w:r>
          </w:p>
        </w:tc>
        <w:tc>
          <w:tcPr>
            <w:tcW w:type="dxa" w:w="7488"/>
            <w:vAlign w:val="top"/>
          </w:tcPr>
          <w:p>
            <w:pPr>
              <w:jc w:val="left"/>
            </w:pPr>
            <w:r/>
            <w:r>
              <w:rPr>
                <w:rFonts w:ascii="Arial" w:hAnsi="Arial"/>
                <w:b w:val="0"/>
                <w:sz w:val="16"/>
              </w:rPr>
              <w:t>Moses, prophets, Ezra, Maccabees, Philo, Josephus, Judah ha-Nasi, rabbis, Himyarite rulers.</w:t>
            </w:r>
          </w:p>
        </w:tc>
      </w:tr>
      <w:tr>
        <w:tc>
          <w:tcPr>
            <w:tcW w:type="dxa" w:w="2952"/>
            <w:vAlign w:val="top"/>
          </w:tcPr>
          <w:p>
            <w:pPr>
              <w:jc w:val="left"/>
            </w:pPr>
            <w:r/>
            <w:r>
              <w:rPr>
                <w:rFonts w:ascii="Arial" w:hAnsi="Arial"/>
                <w:b w:val="0"/>
                <w:sz w:val="16"/>
              </w:rPr>
              <w:t>wv_covenant_frameworks</w:t>
            </w:r>
          </w:p>
        </w:tc>
        <w:tc>
          <w:tcPr>
            <w:tcW w:type="dxa" w:w="7488"/>
            <w:vAlign w:val="top"/>
          </w:tcPr>
          <w:p>
            <w:pPr>
              <w:jc w:val="left"/>
            </w:pPr>
            <w:r/>
            <w:r>
              <w:rPr>
                <w:rFonts w:ascii="Arial" w:hAnsi="Arial"/>
                <w:b w:val="0"/>
                <w:sz w:val="16"/>
              </w:rPr>
              <w:t>Covenant patterns: Sinai, Davidic, prophetic restoration, rabbinic Torah-centered continuity.</w:t>
            </w:r>
          </w:p>
        </w:tc>
      </w:tr>
      <w:tr>
        <w:tc>
          <w:tcPr>
            <w:tcW w:type="dxa" w:w="2952"/>
            <w:vAlign w:val="top"/>
          </w:tcPr>
          <w:p>
            <w:pPr>
              <w:jc w:val="left"/>
            </w:pPr>
            <w:r/>
            <w:r>
              <w:rPr>
                <w:rFonts w:ascii="Arial" w:hAnsi="Arial"/>
                <w:b w:val="0"/>
                <w:sz w:val="16"/>
              </w:rPr>
              <w:t>wv_revelation_models</w:t>
            </w:r>
          </w:p>
        </w:tc>
        <w:tc>
          <w:tcPr>
            <w:tcW w:type="dxa" w:w="7488"/>
            <w:vAlign w:val="top"/>
          </w:tcPr>
          <w:p>
            <w:pPr>
              <w:jc w:val="left"/>
            </w:pPr>
            <w:r/>
            <w:r>
              <w:rPr>
                <w:rFonts w:ascii="Arial" w:hAnsi="Arial"/>
                <w:b w:val="0"/>
                <w:sz w:val="16"/>
              </w:rPr>
              <w:t>Scripture, prophecy, oral Torah, angelic/apocalyptic revelation, translation as interpretation.</w:t>
            </w:r>
          </w:p>
        </w:tc>
      </w:tr>
      <w:tr>
        <w:tc>
          <w:tcPr>
            <w:tcW w:type="dxa" w:w="2952"/>
            <w:vAlign w:val="top"/>
          </w:tcPr>
          <w:p>
            <w:pPr>
              <w:jc w:val="left"/>
            </w:pPr>
            <w:r/>
            <w:r>
              <w:rPr>
                <w:rFonts w:ascii="Arial" w:hAnsi="Arial"/>
                <w:b w:val="0"/>
                <w:sz w:val="16"/>
              </w:rPr>
              <w:t>wv_authority_models</w:t>
            </w:r>
          </w:p>
        </w:tc>
        <w:tc>
          <w:tcPr>
            <w:tcW w:type="dxa" w:w="7488"/>
            <w:vAlign w:val="top"/>
          </w:tcPr>
          <w:p>
            <w:pPr>
              <w:jc w:val="left"/>
            </w:pPr>
            <w:r/>
            <w:r>
              <w:rPr>
                <w:rFonts w:ascii="Arial" w:hAnsi="Arial"/>
                <w:b w:val="0"/>
                <w:sz w:val="16"/>
              </w:rPr>
              <w:t>Priest, prophet, scribe, sage/rabbi, court, academy, community elder, king.</w:t>
            </w:r>
          </w:p>
        </w:tc>
      </w:tr>
      <w:tr>
        <w:tc>
          <w:tcPr>
            <w:tcW w:type="dxa" w:w="2952"/>
            <w:vAlign w:val="top"/>
          </w:tcPr>
          <w:p>
            <w:pPr>
              <w:jc w:val="left"/>
            </w:pPr>
            <w:r/>
            <w:r>
              <w:rPr>
                <w:rFonts w:ascii="Arial" w:hAnsi="Arial"/>
                <w:b w:val="0"/>
                <w:sz w:val="16"/>
              </w:rPr>
              <w:t>wv_claims / wv_evidence_items / wv_claim_evidence_links</w:t>
            </w:r>
          </w:p>
        </w:tc>
        <w:tc>
          <w:tcPr>
            <w:tcW w:type="dxa" w:w="7488"/>
            <w:vAlign w:val="top"/>
          </w:tcPr>
          <w:p>
            <w:pPr>
              <w:jc w:val="left"/>
            </w:pPr>
            <w:r/>
            <w:r>
              <w:rPr>
                <w:rFonts w:ascii="Arial" w:hAnsi="Arial"/>
                <w:b w:val="0"/>
                <w:sz w:val="16"/>
              </w:rPr>
              <w:t>Formal claims such as “post-Temple Judaism re-centered authority around Torah study and rabbinic interpretation.”</w:t>
            </w:r>
          </w:p>
        </w:tc>
      </w:tr>
      <w:tr>
        <w:tc>
          <w:tcPr>
            <w:tcW w:type="dxa" w:w="2952"/>
            <w:vAlign w:val="top"/>
          </w:tcPr>
          <w:p>
            <w:pPr>
              <w:jc w:val="left"/>
            </w:pPr>
            <w:r/>
            <w:r>
              <w:rPr>
                <w:rFonts w:ascii="Arial" w:hAnsi="Arial"/>
                <w:b w:val="0"/>
                <w:sz w:val="16"/>
              </w:rPr>
              <w:t>wv_comparisons / wv_comparison_axes</w:t>
            </w:r>
          </w:p>
        </w:tc>
        <w:tc>
          <w:tcPr>
            <w:tcW w:type="dxa" w:w="7488"/>
            <w:vAlign w:val="top"/>
          </w:tcPr>
          <w:p>
            <w:pPr>
              <w:jc w:val="left"/>
            </w:pPr>
            <w:r/>
            <w:r>
              <w:rPr>
                <w:rFonts w:ascii="Arial" w:hAnsi="Arial"/>
                <w:b w:val="0"/>
                <w:sz w:val="16"/>
              </w:rPr>
              <w:t>Compare Jewish, Christian, Islamic, and late antique patterns without collapsing them.</w:t>
            </w:r>
          </w:p>
        </w:tc>
      </w:tr>
      <w:tr>
        <w:tc>
          <w:tcPr>
            <w:tcW w:type="dxa" w:w="2952"/>
            <w:vAlign w:val="top"/>
          </w:tcPr>
          <w:p>
            <w:pPr>
              <w:jc w:val="left"/>
            </w:pPr>
            <w:r/>
            <w:r>
              <w:rPr>
                <w:rFonts w:ascii="Arial" w:hAnsi="Arial"/>
                <w:b w:val="0"/>
                <w:sz w:val="16"/>
              </w:rPr>
              <w:t>wv_node_quran_links</w:t>
            </w:r>
          </w:p>
        </w:tc>
        <w:tc>
          <w:tcPr>
            <w:tcW w:type="dxa" w:w="7488"/>
            <w:vAlign w:val="top"/>
          </w:tcPr>
          <w:p>
            <w:pPr>
              <w:jc w:val="left"/>
            </w:pPr>
            <w:r/>
            <w:r>
              <w:rPr>
                <w:rFonts w:ascii="Arial" w:hAnsi="Arial"/>
                <w:b w:val="0"/>
                <w:sz w:val="16"/>
              </w:rPr>
              <w:t>Link only specific themes to Qur'anic nodes: covenant, Banī Isrāʾīl, Sabbath, Torah, prophets, Maryam, al-Raḥmān.</w:t>
            </w:r>
          </w:p>
        </w:tc>
      </w:tr>
    </w:tbl>
    <w:p>
      <w:pPr>
        <w:pStyle w:val="Heading2"/>
      </w:pPr>
      <w:r>
        <w:t>8.1 Example source registry JSON</w:t>
      </w:r>
    </w:p>
    <w:p>
      <w:pPr>
        <w:pStyle w:val="CodeBlock"/>
      </w:pPr>
      <w:r>
        <w:rPr>
          <w:rFonts w:ascii="Consolas" w:hAnsi="Consolas"/>
          <w:sz w:val="16"/>
        </w:rPr>
        <w:t>{</w:t>
      </w:r>
      <w:r>
        <w:br/>
      </w:r>
      <w:r>
        <w:rPr>
          <w:rFonts w:ascii="Consolas" w:hAnsi="Consolas"/>
          <w:sz w:val="16"/>
        </w:rPr>
        <w:t xml:space="preserve">  "source_id": "jewish_dss_community_rule",</w:t>
      </w:r>
      <w:r>
        <w:br/>
      </w:r>
      <w:r>
        <w:rPr>
          <w:rFonts w:ascii="Consolas" w:hAnsi="Consolas"/>
          <w:sz w:val="16"/>
        </w:rPr>
        <w:t xml:space="preserve">  "module": "km_worldview",</w:t>
      </w:r>
      <w:r>
        <w:br/>
      </w:r>
      <w:r>
        <w:rPr>
          <w:rFonts w:ascii="Consolas" w:hAnsi="Consolas"/>
          <w:sz w:val="16"/>
        </w:rPr>
        <w:t xml:space="preserve">  "domain": "Islamic Studies General",</w:t>
      </w:r>
      <w:r>
        <w:br/>
      </w:r>
      <w:r>
        <w:rPr>
          <w:rFonts w:ascii="Consolas" w:hAnsi="Consolas"/>
          <w:sz w:val="16"/>
        </w:rPr>
        <w:t xml:space="preserve">  "source_family": "Second Temple Jewish Literature",</w:t>
      </w:r>
      <w:r>
        <w:br/>
      </w:r>
      <w:r>
        <w:rPr>
          <w:rFonts w:ascii="Consolas" w:hAnsi="Consolas"/>
          <w:sz w:val="16"/>
        </w:rPr>
        <w:t xml:space="preserve">  "title": "Community Rule / Serekh ha-Yahad",</w:t>
      </w:r>
      <w:r>
        <w:br/>
      </w:r>
      <w:r>
        <w:rPr>
          <w:rFonts w:ascii="Consolas" w:hAnsi="Consolas"/>
          <w:sz w:val="16"/>
        </w:rPr>
        <w:t xml:space="preserve">  "language_original": "Hebrew",</w:t>
      </w:r>
      <w:r>
        <w:br/>
      </w:r>
      <w:r>
        <w:rPr>
          <w:rFonts w:ascii="Consolas" w:hAnsi="Consolas"/>
          <w:sz w:val="16"/>
        </w:rPr>
        <w:t xml:space="preserve">  "approx_date": "2nd-1st century BCE manuscript/tradition layer",</w:t>
      </w:r>
      <w:r>
        <w:br/>
      </w:r>
      <w:r>
        <w:rPr>
          <w:rFonts w:ascii="Consolas" w:hAnsi="Consolas"/>
          <w:sz w:val="16"/>
        </w:rPr>
        <w:t xml:space="preserve">  "evidence_type": "manuscript_textual_witness",</w:t>
      </w:r>
      <w:r>
        <w:br/>
      </w:r>
      <w:r>
        <w:rPr>
          <w:rFonts w:ascii="Consolas" w:hAnsi="Consolas"/>
          <w:sz w:val="16"/>
        </w:rPr>
        <w:t xml:space="preserve">  "historical_distance": "pre-Islamic; Second Temple; not rabbinic",</w:t>
      </w:r>
      <w:r>
        <w:br/>
      </w:r>
      <w:r>
        <w:rPr>
          <w:rFonts w:ascii="Consolas" w:hAnsi="Consolas"/>
          <w:sz w:val="16"/>
        </w:rPr>
        <w:t xml:space="preserve">  "use_for": ["community discipline", "sectarian identity", "purity", "apocalyptic worldview"],</w:t>
      </w:r>
      <w:r>
        <w:br/>
      </w:r>
      <w:r>
        <w:rPr>
          <w:rFonts w:ascii="Consolas" w:hAnsi="Consolas"/>
          <w:sz w:val="16"/>
        </w:rPr>
        <w:t xml:space="preserve">  "do_not_use_as": ["direct evidence for all Jews", "direct Qur'an background without bridge"],</w:t>
      </w:r>
      <w:r>
        <w:br/>
      </w:r>
      <w:r>
        <w:rPr>
          <w:rFonts w:ascii="Consolas" w:hAnsi="Consolas"/>
          <w:sz w:val="16"/>
        </w:rPr>
        <w:t xml:space="preserve">  "quran_link_policy": "link only via explicit theme nodes, not raw import into km_quran"</w:t>
      </w:r>
      <w:r>
        <w:br/>
      </w:r>
      <w:r>
        <w:rPr>
          <w:rFonts w:ascii="Consolas" w:hAnsi="Consolas"/>
          <w:sz w:val="16"/>
        </w:rPr>
        <w:t>}</w:t>
      </w:r>
    </w:p>
    <w:p>
      <w:pPr>
        <w:pStyle w:val="Heading1"/>
      </w:pPr>
      <w:r>
        <w:t>9. Ingestion Workflow and Review Statuses</w:t>
      </w:r>
    </w:p>
    <w:tbl>
      <w:tblPr>
        <w:tblStyle w:val="TableGrid"/>
        <w:tblW w:type="auto" w:w="0"/>
        <w:jc w:val="center"/>
        <w:tblLayout w:type="autofit"/>
        <w:tblLook w:firstColumn="1" w:firstRow="1" w:lastColumn="0" w:lastRow="0" w:noHBand="0" w:noVBand="1" w:val="04A0"/>
      </w:tblPr>
      <w:tblGrid>
        <w:gridCol w:w="5328"/>
        <w:gridCol w:w="5328"/>
      </w:tblGrid>
      <w:tr>
        <w:tc>
          <w:tcPr>
            <w:tcW w:type="dxa" w:w="2160"/>
            <w:shd w:fill="1F4E79"/>
          </w:tcPr>
          <w:p>
            <w:pPr>
              <w:jc w:val="left"/>
            </w:pPr>
            <w:r/>
            <w:r>
              <w:rPr>
                <w:rFonts w:ascii="Arial" w:hAnsi="Arial"/>
                <w:b/>
                <w:color w:val="FFFFFF"/>
                <w:sz w:val="16"/>
              </w:rPr>
              <w:t>Step</w:t>
            </w:r>
          </w:p>
        </w:tc>
        <w:tc>
          <w:tcPr>
            <w:tcW w:type="dxa" w:w="8208"/>
            <w:shd w:fill="1F4E79"/>
          </w:tcPr>
          <w:p>
            <w:pPr>
              <w:jc w:val="left"/>
            </w:pPr>
            <w:r/>
            <w:r>
              <w:rPr>
                <w:rFonts w:ascii="Arial" w:hAnsi="Arial"/>
                <w:b/>
                <w:color w:val="FFFFFF"/>
                <w:sz w:val="16"/>
              </w:rPr>
              <w:t>Action</w:t>
            </w:r>
          </w:p>
        </w:tc>
      </w:tr>
      <w:tr>
        <w:tc>
          <w:tcPr>
            <w:tcW w:type="dxa" w:w="2160"/>
            <w:vAlign w:val="top"/>
          </w:tcPr>
          <w:p>
            <w:pPr>
              <w:jc w:val="left"/>
            </w:pPr>
            <w:r/>
            <w:r>
              <w:rPr>
                <w:rFonts w:ascii="Arial" w:hAnsi="Arial"/>
                <w:b w:val="0"/>
                <w:sz w:val="16"/>
              </w:rPr>
              <w:t>1. Register source</w:t>
            </w:r>
          </w:p>
        </w:tc>
        <w:tc>
          <w:tcPr>
            <w:tcW w:type="dxa" w:w="8208"/>
            <w:vAlign w:val="top"/>
          </w:tcPr>
          <w:p>
            <w:pPr>
              <w:jc w:val="left"/>
            </w:pPr>
            <w:r/>
            <w:r>
              <w:rPr>
                <w:rFonts w:ascii="Arial" w:hAnsi="Arial"/>
                <w:b w:val="0"/>
                <w:sz w:val="16"/>
              </w:rPr>
              <w:t>Create wv_sources row with source family, language, edition/translator, date range, license, and reliability note.</w:t>
            </w:r>
          </w:p>
        </w:tc>
      </w:tr>
      <w:tr>
        <w:tc>
          <w:tcPr>
            <w:tcW w:type="dxa" w:w="2160"/>
            <w:vAlign w:val="top"/>
          </w:tcPr>
          <w:p>
            <w:pPr>
              <w:jc w:val="left"/>
            </w:pPr>
            <w:r/>
            <w:r>
              <w:rPr>
                <w:rFonts w:ascii="Arial" w:hAnsi="Arial"/>
                <w:b w:val="0"/>
                <w:sz w:val="16"/>
              </w:rPr>
              <w:t>2. Create units</w:t>
            </w:r>
          </w:p>
        </w:tc>
        <w:tc>
          <w:tcPr>
            <w:tcW w:type="dxa" w:w="8208"/>
            <w:vAlign w:val="top"/>
          </w:tcPr>
          <w:p>
            <w:pPr>
              <w:jc w:val="left"/>
            </w:pPr>
            <w:r/>
            <w:r>
              <w:rPr>
                <w:rFonts w:ascii="Arial" w:hAnsi="Arial"/>
                <w:b w:val="0"/>
                <w:sz w:val="16"/>
              </w:rPr>
              <w:t>Split by book/chapter/tractate/scroll/inscription/papyrus. Preserve canonical references.</w:t>
            </w:r>
          </w:p>
        </w:tc>
      </w:tr>
      <w:tr>
        <w:tc>
          <w:tcPr>
            <w:tcW w:type="dxa" w:w="2160"/>
            <w:vAlign w:val="top"/>
          </w:tcPr>
          <w:p>
            <w:pPr>
              <w:jc w:val="left"/>
            </w:pPr>
            <w:r/>
            <w:r>
              <w:rPr>
                <w:rFonts w:ascii="Arial" w:hAnsi="Arial"/>
                <w:b w:val="0"/>
                <w:sz w:val="16"/>
              </w:rPr>
              <w:t>3. Chunk text</w:t>
            </w:r>
          </w:p>
        </w:tc>
        <w:tc>
          <w:tcPr>
            <w:tcW w:type="dxa" w:w="8208"/>
            <w:vAlign w:val="top"/>
          </w:tcPr>
          <w:p>
            <w:pPr>
              <w:jc w:val="left"/>
            </w:pPr>
            <w:r/>
            <w:r>
              <w:rPr>
                <w:rFonts w:ascii="Arial" w:hAnsi="Arial"/>
                <w:b w:val="0"/>
                <w:sz w:val="16"/>
              </w:rPr>
              <w:t>Chunk into wv_source_chunks with stable locator and source URL. Avoid embedding copyrighted translations unless licensed.</w:t>
            </w:r>
          </w:p>
        </w:tc>
      </w:tr>
      <w:tr>
        <w:tc>
          <w:tcPr>
            <w:tcW w:type="dxa" w:w="2160"/>
            <w:vAlign w:val="top"/>
          </w:tcPr>
          <w:p>
            <w:pPr>
              <w:jc w:val="left"/>
            </w:pPr>
            <w:r/>
            <w:r>
              <w:rPr>
                <w:rFonts w:ascii="Arial" w:hAnsi="Arial"/>
                <w:b w:val="0"/>
                <w:sz w:val="16"/>
              </w:rPr>
              <w:t>4. Tag period and tradition</w:t>
            </w:r>
          </w:p>
        </w:tc>
        <w:tc>
          <w:tcPr>
            <w:tcW w:type="dxa" w:w="8208"/>
            <w:vAlign w:val="top"/>
          </w:tcPr>
          <w:p>
            <w:pPr>
              <w:jc w:val="left"/>
            </w:pPr>
            <w:r/>
            <w:r>
              <w:rPr>
                <w:rFonts w:ascii="Arial" w:hAnsi="Arial"/>
                <w:b w:val="0"/>
                <w:sz w:val="16"/>
              </w:rPr>
              <w:t>Attach period, region, tradition branch, and evidence type.</w:t>
            </w:r>
          </w:p>
        </w:tc>
      </w:tr>
      <w:tr>
        <w:tc>
          <w:tcPr>
            <w:tcW w:type="dxa" w:w="2160"/>
            <w:vAlign w:val="top"/>
          </w:tcPr>
          <w:p>
            <w:pPr>
              <w:jc w:val="left"/>
            </w:pPr>
            <w:r/>
            <w:r>
              <w:rPr>
                <w:rFonts w:ascii="Arial" w:hAnsi="Arial"/>
                <w:b w:val="0"/>
                <w:sz w:val="16"/>
              </w:rPr>
              <w:t>5. Extract claims</w:t>
            </w:r>
          </w:p>
        </w:tc>
        <w:tc>
          <w:tcPr>
            <w:tcW w:type="dxa" w:w="8208"/>
            <w:vAlign w:val="top"/>
          </w:tcPr>
          <w:p>
            <w:pPr>
              <w:jc w:val="left"/>
            </w:pPr>
            <w:r/>
            <w:r>
              <w:rPr>
                <w:rFonts w:ascii="Arial" w:hAnsi="Arial"/>
                <w:b w:val="0"/>
                <w:sz w:val="16"/>
              </w:rPr>
              <w:t>Use AI to propose claims, but require review. Keep claim/evidence links explicit.</w:t>
            </w:r>
          </w:p>
        </w:tc>
      </w:tr>
      <w:tr>
        <w:tc>
          <w:tcPr>
            <w:tcW w:type="dxa" w:w="2160"/>
            <w:vAlign w:val="top"/>
          </w:tcPr>
          <w:p>
            <w:pPr>
              <w:jc w:val="left"/>
            </w:pPr>
            <w:r/>
            <w:r>
              <w:rPr>
                <w:rFonts w:ascii="Arial" w:hAnsi="Arial"/>
                <w:b w:val="0"/>
                <w:sz w:val="16"/>
              </w:rPr>
              <w:t>6. Build worldview nodes</w:t>
            </w:r>
          </w:p>
        </w:tc>
        <w:tc>
          <w:tcPr>
            <w:tcW w:type="dxa" w:w="8208"/>
            <w:vAlign w:val="top"/>
          </w:tcPr>
          <w:p>
            <w:pPr>
              <w:jc w:val="left"/>
            </w:pPr>
            <w:r/>
            <w:r>
              <w:rPr>
                <w:rFonts w:ascii="Arial" w:hAnsi="Arial"/>
                <w:b w:val="0"/>
                <w:sz w:val="16"/>
              </w:rPr>
              <w:t>Create covenant, authority, law, exile, apocalyptic, rabbinic, diaspora, and Arabia nodes.</w:t>
            </w:r>
          </w:p>
        </w:tc>
      </w:tr>
      <w:tr>
        <w:tc>
          <w:tcPr>
            <w:tcW w:type="dxa" w:w="2160"/>
            <w:vAlign w:val="top"/>
          </w:tcPr>
          <w:p>
            <w:pPr>
              <w:jc w:val="left"/>
            </w:pPr>
            <w:r/>
            <w:r>
              <w:rPr>
                <w:rFonts w:ascii="Arial" w:hAnsi="Arial"/>
                <w:b w:val="0"/>
                <w:sz w:val="16"/>
              </w:rPr>
              <w:t>7. Add Qur'an links</w:t>
            </w:r>
          </w:p>
        </w:tc>
        <w:tc>
          <w:tcPr>
            <w:tcW w:type="dxa" w:w="8208"/>
            <w:vAlign w:val="top"/>
          </w:tcPr>
          <w:p>
            <w:pPr>
              <w:jc w:val="left"/>
            </w:pPr>
            <w:r/>
            <w:r>
              <w:rPr>
                <w:rFonts w:ascii="Arial" w:hAnsi="Arial"/>
                <w:b w:val="0"/>
                <w:sz w:val="16"/>
              </w:rPr>
              <w:t>Only link specific nodes to Qur'anic passages/themes using wv_node_quran_links; do not duplicate raw Jewish source text in km_quran.</w:t>
            </w:r>
          </w:p>
        </w:tc>
      </w:tr>
      <w:tr>
        <w:tc>
          <w:tcPr>
            <w:tcW w:type="dxa" w:w="2160"/>
            <w:vAlign w:val="top"/>
          </w:tcPr>
          <w:p>
            <w:pPr>
              <w:jc w:val="left"/>
            </w:pPr>
            <w:r/>
            <w:r>
              <w:rPr>
                <w:rFonts w:ascii="Arial" w:hAnsi="Arial"/>
                <w:b w:val="0"/>
                <w:sz w:val="16"/>
              </w:rPr>
              <w:t>8. Review and normalize</w:t>
            </w:r>
          </w:p>
        </w:tc>
        <w:tc>
          <w:tcPr>
            <w:tcW w:type="dxa" w:w="8208"/>
            <w:vAlign w:val="top"/>
          </w:tcPr>
          <w:p>
            <w:pPr>
              <w:jc w:val="left"/>
            </w:pPr>
            <w:r/>
            <w:r>
              <w:rPr>
                <w:rFonts w:ascii="Arial" w:hAnsi="Arial"/>
                <w:b w:val="0"/>
                <w:sz w:val="16"/>
              </w:rPr>
              <w:t>Mark status: raw, structured, reviewed, approved, disputed, deprecated.</w:t>
            </w:r>
          </w:p>
        </w:tc>
      </w:tr>
    </w:tbl>
    <w:tbl>
      <w:tblPr>
        <w:tblStyle w:val="TableGrid"/>
        <w:tblW w:type="auto" w:w="0"/>
        <w:jc w:val="center"/>
        <w:tblLayout w:type="autofit"/>
        <w:tblLook w:firstColumn="1" w:firstRow="1" w:lastColumn="0" w:lastRow="0" w:noHBand="0" w:noVBand="1" w:val="04A0"/>
      </w:tblPr>
      <w:tblGrid>
        <w:gridCol w:w="5328"/>
        <w:gridCol w:w="5328"/>
      </w:tblGrid>
      <w:tr>
        <w:tc>
          <w:tcPr>
            <w:tcW w:type="dxa" w:w="2016"/>
            <w:shd w:fill="1F4E79"/>
          </w:tcPr>
          <w:p>
            <w:pPr>
              <w:jc w:val="left"/>
            </w:pPr>
            <w:r/>
            <w:r>
              <w:rPr>
                <w:rFonts w:ascii="Arial" w:hAnsi="Arial"/>
                <w:b/>
                <w:color w:val="FFFFFF"/>
                <w:sz w:val="16"/>
              </w:rPr>
              <w:t>Status</w:t>
            </w:r>
          </w:p>
        </w:tc>
        <w:tc>
          <w:tcPr>
            <w:tcW w:type="dxa" w:w="8352"/>
            <w:shd w:fill="1F4E79"/>
          </w:tcPr>
          <w:p>
            <w:pPr>
              <w:jc w:val="left"/>
            </w:pPr>
            <w:r/>
            <w:r>
              <w:rPr>
                <w:rFonts w:ascii="Arial" w:hAnsi="Arial"/>
                <w:b/>
                <w:color w:val="FFFFFF"/>
                <w:sz w:val="16"/>
              </w:rPr>
              <w:t>Meaning</w:t>
            </w:r>
          </w:p>
        </w:tc>
      </w:tr>
      <w:tr>
        <w:tc>
          <w:tcPr>
            <w:tcW w:type="dxa" w:w="2016"/>
            <w:vAlign w:val="top"/>
          </w:tcPr>
          <w:p>
            <w:pPr>
              <w:jc w:val="left"/>
            </w:pPr>
            <w:r/>
            <w:r>
              <w:rPr>
                <w:rFonts w:ascii="Arial" w:hAnsi="Arial"/>
                <w:b w:val="0"/>
                <w:sz w:val="16"/>
              </w:rPr>
              <w:t>raw</w:t>
            </w:r>
          </w:p>
        </w:tc>
        <w:tc>
          <w:tcPr>
            <w:tcW w:type="dxa" w:w="8352"/>
            <w:vAlign w:val="top"/>
          </w:tcPr>
          <w:p>
            <w:pPr>
              <w:jc w:val="left"/>
            </w:pPr>
            <w:r/>
            <w:r>
              <w:rPr>
                <w:rFonts w:ascii="Arial" w:hAnsi="Arial"/>
                <w:b w:val="0"/>
                <w:sz w:val="16"/>
              </w:rPr>
              <w:t>Imported but not reviewed; retrieval-only.</w:t>
            </w:r>
          </w:p>
        </w:tc>
      </w:tr>
      <w:tr>
        <w:tc>
          <w:tcPr>
            <w:tcW w:type="dxa" w:w="2016"/>
            <w:vAlign w:val="top"/>
          </w:tcPr>
          <w:p>
            <w:pPr>
              <w:jc w:val="left"/>
            </w:pPr>
            <w:r/>
            <w:r>
              <w:rPr>
                <w:rFonts w:ascii="Arial" w:hAnsi="Arial"/>
                <w:b w:val="0"/>
                <w:sz w:val="16"/>
              </w:rPr>
              <w:t>structured</w:t>
            </w:r>
          </w:p>
        </w:tc>
        <w:tc>
          <w:tcPr>
            <w:tcW w:type="dxa" w:w="8352"/>
            <w:vAlign w:val="top"/>
          </w:tcPr>
          <w:p>
            <w:pPr>
              <w:jc w:val="left"/>
            </w:pPr>
            <w:r/>
            <w:r>
              <w:rPr>
                <w:rFonts w:ascii="Arial" w:hAnsi="Arial"/>
                <w:b w:val="0"/>
                <w:sz w:val="16"/>
              </w:rPr>
              <w:t>Units/chunks created and metadata added.</w:t>
            </w:r>
          </w:p>
        </w:tc>
      </w:tr>
      <w:tr>
        <w:tc>
          <w:tcPr>
            <w:tcW w:type="dxa" w:w="2016"/>
            <w:vAlign w:val="top"/>
          </w:tcPr>
          <w:p>
            <w:pPr>
              <w:jc w:val="left"/>
            </w:pPr>
            <w:r/>
            <w:r>
              <w:rPr>
                <w:rFonts w:ascii="Arial" w:hAnsi="Arial"/>
                <w:b w:val="0"/>
                <w:sz w:val="16"/>
              </w:rPr>
              <w:t>ai_extracted</w:t>
            </w:r>
          </w:p>
        </w:tc>
        <w:tc>
          <w:tcPr>
            <w:tcW w:type="dxa" w:w="8352"/>
            <w:vAlign w:val="top"/>
          </w:tcPr>
          <w:p>
            <w:pPr>
              <w:jc w:val="left"/>
            </w:pPr>
            <w:r/>
            <w:r>
              <w:rPr>
                <w:rFonts w:ascii="Arial" w:hAnsi="Arial"/>
                <w:b w:val="0"/>
                <w:sz w:val="16"/>
              </w:rPr>
              <w:t>AI proposed themes, claims, links, but human review pending.</w:t>
            </w:r>
          </w:p>
        </w:tc>
      </w:tr>
      <w:tr>
        <w:tc>
          <w:tcPr>
            <w:tcW w:type="dxa" w:w="2016"/>
            <w:vAlign w:val="top"/>
          </w:tcPr>
          <w:p>
            <w:pPr>
              <w:jc w:val="left"/>
            </w:pPr>
            <w:r/>
            <w:r>
              <w:rPr>
                <w:rFonts w:ascii="Arial" w:hAnsi="Arial"/>
                <w:b w:val="0"/>
                <w:sz w:val="16"/>
              </w:rPr>
              <w:t>reviewed</w:t>
            </w:r>
          </w:p>
        </w:tc>
        <w:tc>
          <w:tcPr>
            <w:tcW w:type="dxa" w:w="8352"/>
            <w:vAlign w:val="top"/>
          </w:tcPr>
          <w:p>
            <w:pPr>
              <w:jc w:val="left"/>
            </w:pPr>
            <w:r/>
            <w:r>
              <w:rPr>
                <w:rFonts w:ascii="Arial" w:hAnsi="Arial"/>
                <w:b w:val="0"/>
                <w:sz w:val="16"/>
              </w:rPr>
              <w:t>Human checked source references and basic interpretation.</w:t>
            </w:r>
          </w:p>
        </w:tc>
      </w:tr>
      <w:tr>
        <w:tc>
          <w:tcPr>
            <w:tcW w:type="dxa" w:w="2016"/>
            <w:vAlign w:val="top"/>
          </w:tcPr>
          <w:p>
            <w:pPr>
              <w:jc w:val="left"/>
            </w:pPr>
            <w:r/>
            <w:r>
              <w:rPr>
                <w:rFonts w:ascii="Arial" w:hAnsi="Arial"/>
                <w:b w:val="0"/>
                <w:sz w:val="16"/>
              </w:rPr>
              <w:t>approved</w:t>
            </w:r>
          </w:p>
        </w:tc>
        <w:tc>
          <w:tcPr>
            <w:tcW w:type="dxa" w:w="8352"/>
            <w:vAlign w:val="top"/>
          </w:tcPr>
          <w:p>
            <w:pPr>
              <w:jc w:val="left"/>
            </w:pPr>
            <w:r/>
            <w:r>
              <w:rPr>
                <w:rFonts w:ascii="Arial" w:hAnsi="Arial"/>
                <w:b w:val="0"/>
                <w:sz w:val="16"/>
              </w:rPr>
              <w:t>Stable enough for user-facing study cards and worldview maps.</w:t>
            </w:r>
          </w:p>
        </w:tc>
      </w:tr>
      <w:tr>
        <w:tc>
          <w:tcPr>
            <w:tcW w:type="dxa" w:w="2016"/>
            <w:vAlign w:val="top"/>
          </w:tcPr>
          <w:p>
            <w:pPr>
              <w:jc w:val="left"/>
            </w:pPr>
            <w:r/>
            <w:r>
              <w:rPr>
                <w:rFonts w:ascii="Arial" w:hAnsi="Arial"/>
                <w:b w:val="0"/>
                <w:sz w:val="16"/>
              </w:rPr>
              <w:t>disputed</w:t>
            </w:r>
          </w:p>
        </w:tc>
        <w:tc>
          <w:tcPr>
            <w:tcW w:type="dxa" w:w="8352"/>
            <w:vAlign w:val="top"/>
          </w:tcPr>
          <w:p>
            <w:pPr>
              <w:jc w:val="left"/>
            </w:pPr>
            <w:r/>
            <w:r>
              <w:rPr>
                <w:rFonts w:ascii="Arial" w:hAnsi="Arial"/>
                <w:b w:val="0"/>
                <w:sz w:val="16"/>
              </w:rPr>
              <w:t>Important but contested; show multiple positions.</w:t>
            </w:r>
          </w:p>
        </w:tc>
      </w:tr>
      <w:tr>
        <w:tc>
          <w:tcPr>
            <w:tcW w:type="dxa" w:w="2016"/>
            <w:vAlign w:val="top"/>
          </w:tcPr>
          <w:p>
            <w:pPr>
              <w:jc w:val="left"/>
            </w:pPr>
            <w:r/>
            <w:r>
              <w:rPr>
                <w:rFonts w:ascii="Arial" w:hAnsi="Arial"/>
                <w:b w:val="0"/>
                <w:sz w:val="16"/>
              </w:rPr>
              <w:t>deprecated</w:t>
            </w:r>
          </w:p>
        </w:tc>
        <w:tc>
          <w:tcPr>
            <w:tcW w:type="dxa" w:w="8352"/>
            <w:vAlign w:val="top"/>
          </w:tcPr>
          <w:p>
            <w:pPr>
              <w:jc w:val="left"/>
            </w:pPr>
            <w:r/>
            <w:r>
              <w:rPr>
                <w:rFonts w:ascii="Arial" w:hAnsi="Arial"/>
                <w:b w:val="0"/>
                <w:sz w:val="16"/>
              </w:rPr>
              <w:t>Bad edition, bad OCR, weak translation, or replaced by better source.</w:t>
            </w:r>
          </w:p>
        </w:tc>
      </w:tr>
    </w:tbl>
    <w:p>
      <w:pPr>
        <w:pStyle w:val="Heading1"/>
      </w:pPr>
      <w:r>
        <w:t>10. Pilot Sprint Plan</w:t>
      </w:r>
    </w:p>
    <w:p>
      <w:r>
        <w:t>Recommended first build: do not ingest everything at once. Start with small, high-yield pilot clusters that directly help Islamic Studies General.</w:t>
      </w:r>
    </w:p>
    <w:tbl>
      <w:tblPr>
        <w:tblStyle w:val="TableGrid"/>
        <w:tblW w:type="auto" w:w="0"/>
        <w:jc w:val="center"/>
        <w:tblLayout w:type="autofit"/>
        <w:tblLook w:firstColumn="1" w:firstRow="1" w:lastColumn="0" w:lastRow="0" w:noHBand="0" w:noVBand="1" w:val="04A0"/>
      </w:tblPr>
      <w:tblGrid>
        <w:gridCol w:w="3552"/>
        <w:gridCol w:w="3552"/>
        <w:gridCol w:w="3552"/>
      </w:tblGrid>
      <w:tr>
        <w:tc>
          <w:tcPr>
            <w:tcW w:type="dxa" w:w="1440"/>
            <w:shd w:fill="1F4E79"/>
          </w:tcPr>
          <w:p>
            <w:pPr>
              <w:jc w:val="left"/>
            </w:pPr>
            <w:r/>
            <w:r>
              <w:rPr>
                <w:rFonts w:ascii="Arial" w:hAnsi="Arial"/>
                <w:b/>
                <w:color w:val="FFFFFF"/>
                <w:sz w:val="16"/>
              </w:rPr>
              <w:t>Sprint</w:t>
            </w:r>
          </w:p>
        </w:tc>
        <w:tc>
          <w:tcPr>
            <w:tcW w:type="dxa" w:w="3024"/>
            <w:shd w:fill="1F4E79"/>
          </w:tcPr>
          <w:p>
            <w:pPr>
              <w:jc w:val="left"/>
            </w:pPr>
            <w:r/>
            <w:r>
              <w:rPr>
                <w:rFonts w:ascii="Arial" w:hAnsi="Arial"/>
                <w:b/>
                <w:color w:val="FFFFFF"/>
                <w:sz w:val="16"/>
              </w:rPr>
              <w:t>Focus</w:t>
            </w:r>
          </w:p>
        </w:tc>
        <w:tc>
          <w:tcPr>
            <w:tcW w:type="dxa" w:w="6048"/>
            <w:shd w:fill="1F4E79"/>
          </w:tcPr>
          <w:p>
            <w:pPr>
              <w:jc w:val="left"/>
            </w:pPr>
            <w:r/>
            <w:r>
              <w:rPr>
                <w:rFonts w:ascii="Arial" w:hAnsi="Arial"/>
                <w:b/>
                <w:color w:val="FFFFFF"/>
                <w:sz w:val="16"/>
              </w:rPr>
              <w:t>Output</w:t>
            </w:r>
          </w:p>
        </w:tc>
      </w:tr>
      <w:tr>
        <w:tc>
          <w:tcPr>
            <w:tcW w:type="dxa" w:w="1440"/>
            <w:vAlign w:val="top"/>
          </w:tcPr>
          <w:p>
            <w:pPr>
              <w:jc w:val="left"/>
            </w:pPr>
            <w:r/>
            <w:r>
              <w:rPr>
                <w:rFonts w:ascii="Arial" w:hAnsi="Arial"/>
                <w:b w:val="0"/>
                <w:sz w:val="16"/>
              </w:rPr>
              <w:t>Sprint 1</w:t>
            </w:r>
          </w:p>
        </w:tc>
        <w:tc>
          <w:tcPr>
            <w:tcW w:type="dxa" w:w="3024"/>
            <w:vAlign w:val="top"/>
          </w:tcPr>
          <w:p>
            <w:pPr>
              <w:jc w:val="left"/>
            </w:pPr>
            <w:r/>
            <w:r>
              <w:rPr>
                <w:rFonts w:ascii="Arial" w:hAnsi="Arial"/>
                <w:b w:val="0"/>
                <w:sz w:val="16"/>
              </w:rPr>
              <w:t>Source registry and period map</w:t>
            </w:r>
          </w:p>
        </w:tc>
        <w:tc>
          <w:tcPr>
            <w:tcW w:type="dxa" w:w="6048"/>
            <w:vAlign w:val="top"/>
          </w:tcPr>
          <w:p>
            <w:pPr>
              <w:jc w:val="left"/>
            </w:pPr>
            <w:r/>
            <w:r>
              <w:rPr>
                <w:rFonts w:ascii="Arial" w:hAnsi="Arial"/>
                <w:b w:val="0"/>
                <w:sz w:val="16"/>
              </w:rPr>
              <w:t>Create sources, periods, traditions, and event skeleton. No deep AI extraction yet.</w:t>
            </w:r>
          </w:p>
        </w:tc>
      </w:tr>
      <w:tr>
        <w:tc>
          <w:tcPr>
            <w:tcW w:type="dxa" w:w="1440"/>
            <w:vAlign w:val="top"/>
          </w:tcPr>
          <w:p>
            <w:pPr>
              <w:jc w:val="left"/>
            </w:pPr>
            <w:r/>
            <w:r>
              <w:rPr>
                <w:rFonts w:ascii="Arial" w:hAnsi="Arial"/>
                <w:b w:val="0"/>
                <w:sz w:val="16"/>
              </w:rPr>
              <w:t>Sprint 2</w:t>
            </w:r>
          </w:p>
        </w:tc>
        <w:tc>
          <w:tcPr>
            <w:tcW w:type="dxa" w:w="3024"/>
            <w:vAlign w:val="top"/>
          </w:tcPr>
          <w:p>
            <w:pPr>
              <w:jc w:val="left"/>
            </w:pPr>
            <w:r/>
            <w:r>
              <w:rPr>
                <w:rFonts w:ascii="Arial" w:hAnsi="Arial"/>
                <w:b w:val="0"/>
                <w:sz w:val="16"/>
              </w:rPr>
              <w:t>Covenant and revelation matrix</w:t>
            </w:r>
          </w:p>
        </w:tc>
        <w:tc>
          <w:tcPr>
            <w:tcW w:type="dxa" w:w="6048"/>
            <w:vAlign w:val="top"/>
          </w:tcPr>
          <w:p>
            <w:pPr>
              <w:jc w:val="left"/>
            </w:pPr>
            <w:r/>
            <w:r>
              <w:rPr>
                <w:rFonts w:ascii="Arial" w:hAnsi="Arial"/>
                <w:b w:val="0"/>
                <w:sz w:val="16"/>
              </w:rPr>
              <w:t>Tanakh + DSS + Mishnah + Targum examples. Link only broad Qur'anic themes.</w:t>
            </w:r>
          </w:p>
        </w:tc>
      </w:tr>
      <w:tr>
        <w:tc>
          <w:tcPr>
            <w:tcW w:type="dxa" w:w="1440"/>
            <w:vAlign w:val="top"/>
          </w:tcPr>
          <w:p>
            <w:pPr>
              <w:jc w:val="left"/>
            </w:pPr>
            <w:r/>
            <w:r>
              <w:rPr>
                <w:rFonts w:ascii="Arial" w:hAnsi="Arial"/>
                <w:b w:val="0"/>
                <w:sz w:val="16"/>
              </w:rPr>
              <w:t>Sprint 3</w:t>
            </w:r>
          </w:p>
        </w:tc>
        <w:tc>
          <w:tcPr>
            <w:tcW w:type="dxa" w:w="3024"/>
            <w:vAlign w:val="top"/>
          </w:tcPr>
          <w:p>
            <w:pPr>
              <w:jc w:val="left"/>
            </w:pPr>
            <w:r/>
            <w:r>
              <w:rPr>
                <w:rFonts w:ascii="Arial" w:hAnsi="Arial"/>
                <w:b w:val="0"/>
                <w:sz w:val="16"/>
              </w:rPr>
              <w:t>Second Temple worldview cluster</w:t>
            </w:r>
          </w:p>
        </w:tc>
        <w:tc>
          <w:tcPr>
            <w:tcW w:type="dxa" w:w="6048"/>
            <w:vAlign w:val="top"/>
          </w:tcPr>
          <w:p>
            <w:pPr>
              <w:jc w:val="left"/>
            </w:pPr>
            <w:r/>
            <w:r>
              <w:rPr>
                <w:rFonts w:ascii="Arial" w:hAnsi="Arial"/>
                <w:b w:val="0"/>
                <w:sz w:val="16"/>
              </w:rPr>
              <w:t>DSS, Enoch/Jubilees, Maccabees, Philo, Josephus. Extract apocalyptic, law, temple, sects.</w:t>
            </w:r>
          </w:p>
        </w:tc>
      </w:tr>
      <w:tr>
        <w:tc>
          <w:tcPr>
            <w:tcW w:type="dxa" w:w="1440"/>
            <w:vAlign w:val="top"/>
          </w:tcPr>
          <w:p>
            <w:pPr>
              <w:jc w:val="left"/>
            </w:pPr>
            <w:r/>
            <w:r>
              <w:rPr>
                <w:rFonts w:ascii="Arial" w:hAnsi="Arial"/>
                <w:b w:val="0"/>
                <w:sz w:val="16"/>
              </w:rPr>
              <w:t>Sprint 4</w:t>
            </w:r>
          </w:p>
        </w:tc>
        <w:tc>
          <w:tcPr>
            <w:tcW w:type="dxa" w:w="3024"/>
            <w:vAlign w:val="top"/>
          </w:tcPr>
          <w:p>
            <w:pPr>
              <w:jc w:val="left"/>
            </w:pPr>
            <w:r/>
            <w:r>
              <w:rPr>
                <w:rFonts w:ascii="Arial" w:hAnsi="Arial"/>
                <w:b w:val="0"/>
                <w:sz w:val="16"/>
              </w:rPr>
              <w:t>Post-Temple rabbinic formation</w:t>
            </w:r>
          </w:p>
        </w:tc>
        <w:tc>
          <w:tcPr>
            <w:tcW w:type="dxa" w:w="6048"/>
            <w:vAlign w:val="top"/>
          </w:tcPr>
          <w:p>
            <w:pPr>
              <w:jc w:val="left"/>
            </w:pPr>
            <w:r/>
            <w:r>
              <w:rPr>
                <w:rFonts w:ascii="Arial" w:hAnsi="Arial"/>
                <w:b w:val="0"/>
                <w:sz w:val="16"/>
              </w:rPr>
              <w:t>Mishnah, Tosefta, early midrash, Talmud intro chunks. Focus on authority after temple destruction.</w:t>
            </w:r>
          </w:p>
        </w:tc>
      </w:tr>
      <w:tr>
        <w:tc>
          <w:tcPr>
            <w:tcW w:type="dxa" w:w="1440"/>
            <w:vAlign w:val="top"/>
          </w:tcPr>
          <w:p>
            <w:pPr>
              <w:jc w:val="left"/>
            </w:pPr>
            <w:r/>
            <w:r>
              <w:rPr>
                <w:rFonts w:ascii="Arial" w:hAnsi="Arial"/>
                <w:b w:val="0"/>
                <w:sz w:val="16"/>
              </w:rPr>
              <w:t>Sprint 5</w:t>
            </w:r>
          </w:p>
        </w:tc>
        <w:tc>
          <w:tcPr>
            <w:tcW w:type="dxa" w:w="3024"/>
            <w:vAlign w:val="top"/>
          </w:tcPr>
          <w:p>
            <w:pPr>
              <w:jc w:val="left"/>
            </w:pPr>
            <w:r/>
            <w:r>
              <w:rPr>
                <w:rFonts w:ascii="Arial" w:hAnsi="Arial"/>
                <w:b w:val="0"/>
                <w:sz w:val="16"/>
              </w:rPr>
              <w:t>Arabian Jewish environment</w:t>
            </w:r>
          </w:p>
        </w:tc>
        <w:tc>
          <w:tcPr>
            <w:tcW w:type="dxa" w:w="6048"/>
            <w:vAlign w:val="top"/>
          </w:tcPr>
          <w:p>
            <w:pPr>
              <w:jc w:val="left"/>
            </w:pPr>
            <w:r/>
            <w:r>
              <w:rPr>
                <w:rFonts w:ascii="Arial" w:hAnsi="Arial"/>
                <w:b w:val="0"/>
                <w:sz w:val="16"/>
              </w:rPr>
              <w:t>Ḥimyar inscriptions, Najrān, Yathrib/Khaybar reports, Lecker/Newby/Robin/Hoyland as control layer.</w:t>
            </w:r>
          </w:p>
        </w:tc>
      </w:tr>
      <w:tr>
        <w:tc>
          <w:tcPr>
            <w:tcW w:type="dxa" w:w="1440"/>
            <w:vAlign w:val="top"/>
          </w:tcPr>
          <w:p>
            <w:pPr>
              <w:jc w:val="left"/>
            </w:pPr>
            <w:r/>
            <w:r>
              <w:rPr>
                <w:rFonts w:ascii="Arial" w:hAnsi="Arial"/>
                <w:b w:val="0"/>
                <w:sz w:val="16"/>
              </w:rPr>
              <w:t>Sprint 6</w:t>
            </w:r>
          </w:p>
        </w:tc>
        <w:tc>
          <w:tcPr>
            <w:tcW w:type="dxa" w:w="3024"/>
            <w:vAlign w:val="top"/>
          </w:tcPr>
          <w:p>
            <w:pPr>
              <w:jc w:val="left"/>
            </w:pPr>
            <w:r/>
            <w:r>
              <w:rPr>
                <w:rFonts w:ascii="Arial" w:hAnsi="Arial"/>
                <w:b w:val="0"/>
                <w:sz w:val="16"/>
              </w:rPr>
              <w:t>Qur'anic bridge cards</w:t>
            </w:r>
          </w:p>
        </w:tc>
        <w:tc>
          <w:tcPr>
            <w:tcW w:type="dxa" w:w="6048"/>
            <w:vAlign w:val="top"/>
          </w:tcPr>
          <w:p>
            <w:pPr>
              <w:jc w:val="left"/>
            </w:pPr>
            <w:r/>
            <w:r>
              <w:rPr>
                <w:rFonts w:ascii="Arial" w:hAnsi="Arial"/>
                <w:b w:val="0"/>
                <w:sz w:val="16"/>
              </w:rPr>
              <w:t>Create safe bridge cards: Banī Isrāʾīl, Torah, Sabbath, Maryam/ʿĪsā context, al-Raḥmān, covenant.</w:t>
            </w:r>
          </w:p>
        </w:tc>
      </w:tr>
    </w:tbl>
    <w:p>
      <w:pPr>
        <w:pStyle w:val="Heading2"/>
      </w:pPr>
      <w:r>
        <w:t>10.1 Guardrails</w:t>
      </w:r>
    </w:p>
    <w:p>
      <w:pPr>
        <w:pStyle w:val="ListBullet"/>
        <w:spacing w:after="40"/>
      </w:pPr>
      <w:r>
        <w:rPr>
          <w:sz w:val="19"/>
        </w:rPr>
        <w:t>Do not treat later rabbinic material as direct evidence for 7th-century Arabian Jews unless there is a bridge.</w:t>
      </w:r>
    </w:p>
    <w:p>
      <w:pPr>
        <w:pStyle w:val="ListBullet"/>
        <w:spacing w:after="40"/>
      </w:pPr>
      <w:r>
        <w:rPr>
          <w:sz w:val="19"/>
        </w:rPr>
        <w:t>Do not treat Islamic sīrah reports about Jewish tribes as Jewish self-description; tag them as Islamic memory/external narrative.</w:t>
      </w:r>
    </w:p>
    <w:p>
      <w:pPr>
        <w:pStyle w:val="ListBullet"/>
        <w:spacing w:after="40"/>
      </w:pPr>
      <w:r>
        <w:rPr>
          <w:sz w:val="19"/>
        </w:rPr>
        <w:t>Do not import copyrighted modern translations into embeddings unless license permits it.</w:t>
      </w:r>
    </w:p>
    <w:p>
      <w:pPr>
        <w:pStyle w:val="ListBullet"/>
        <w:spacing w:after="40"/>
      </w:pPr>
      <w:r>
        <w:rPr>
          <w:sz w:val="19"/>
        </w:rPr>
        <w:t>Do not use Jewish sources as “proof-texts” for Qur'anic truth claims inside this module; use them to map historical environment, parallels, divergences, and community evolution.</w:t>
      </w:r>
    </w:p>
    <w:p>
      <w:pPr>
        <w:pStyle w:val="ListBullet"/>
        <w:spacing w:after="40"/>
      </w:pPr>
      <w:r>
        <w:rPr>
          <w:sz w:val="19"/>
        </w:rPr>
        <w:t>Do not mix biblical, Second Temple, rabbinic, and late antique layers without period tags.</w:t>
      </w:r>
    </w:p>
    <w:p>
      <w:pPr>
        <w:pStyle w:val="Heading1"/>
      </w:pPr>
      <w:r>
        <w:t>11. Bibliography and Online Anchors</w:t>
      </w:r>
    </w:p>
    <w:p>
      <w:r>
        <w:t>Use these as starting anchors for source verification, not as the only sources. For copyrighted books, store bibliographic metadata and your notes; ingest only permitted text.</w:t>
      </w:r>
    </w:p>
    <w:tbl>
      <w:tblPr>
        <w:tblStyle w:val="TableGrid"/>
        <w:tblW w:type="auto" w:w="0"/>
        <w:jc w:val="center"/>
        <w:tblLayout w:type="autofit"/>
        <w:tblLook w:firstColumn="1" w:firstRow="1" w:lastColumn="0" w:lastRow="0" w:noHBand="0" w:noVBand="1" w:val="04A0"/>
      </w:tblPr>
      <w:tblGrid>
        <w:gridCol w:w="3552"/>
        <w:gridCol w:w="3552"/>
        <w:gridCol w:w="3552"/>
      </w:tblGrid>
      <w:tr>
        <w:tc>
          <w:tcPr>
            <w:tcW w:type="dxa" w:w="2448"/>
            <w:shd w:fill="1F4E79"/>
          </w:tcPr>
          <w:p>
            <w:pPr>
              <w:jc w:val="left"/>
            </w:pPr>
            <w:r/>
            <w:r>
              <w:rPr>
                <w:rFonts w:ascii="Arial" w:hAnsi="Arial"/>
                <w:b/>
                <w:color w:val="FFFFFF"/>
                <w:sz w:val="14"/>
              </w:rPr>
              <w:t>Anchor</w:t>
            </w:r>
          </w:p>
        </w:tc>
        <w:tc>
          <w:tcPr>
            <w:tcW w:type="dxa" w:w="3600"/>
            <w:shd w:fill="1F4E79"/>
          </w:tcPr>
          <w:p>
            <w:pPr>
              <w:jc w:val="left"/>
            </w:pPr>
            <w:r/>
            <w:r>
              <w:rPr>
                <w:rFonts w:ascii="Arial" w:hAnsi="Arial"/>
                <w:b/>
                <w:color w:val="FFFFFF"/>
                <w:sz w:val="14"/>
              </w:rPr>
              <w:t>Use</w:t>
            </w:r>
          </w:p>
        </w:tc>
        <w:tc>
          <w:tcPr>
            <w:tcW w:type="dxa" w:w="4608"/>
            <w:shd w:fill="1F4E79"/>
          </w:tcPr>
          <w:p>
            <w:pPr>
              <w:jc w:val="left"/>
            </w:pPr>
            <w:r/>
            <w:r>
              <w:rPr>
                <w:rFonts w:ascii="Arial" w:hAnsi="Arial"/>
                <w:b/>
                <w:color w:val="FFFFFF"/>
                <w:sz w:val="14"/>
              </w:rPr>
              <w:t>URL</w:t>
            </w:r>
          </w:p>
        </w:tc>
      </w:tr>
      <w:tr>
        <w:tc>
          <w:tcPr>
            <w:tcW w:type="dxa" w:w="2448"/>
            <w:vAlign w:val="top"/>
          </w:tcPr>
          <w:p>
            <w:pPr>
              <w:jc w:val="left"/>
            </w:pPr>
            <w:r/>
            <w:r>
              <w:rPr>
                <w:rFonts w:ascii="Arial" w:hAnsi="Arial"/>
                <w:b w:val="0"/>
                <w:sz w:val="14"/>
              </w:rPr>
              <w:t>Dead Sea Scrolls official digital library</w:t>
            </w:r>
          </w:p>
        </w:tc>
        <w:tc>
          <w:tcPr>
            <w:tcW w:type="dxa" w:w="3600"/>
            <w:vAlign w:val="top"/>
          </w:tcPr>
          <w:p>
            <w:pPr>
              <w:jc w:val="left"/>
            </w:pPr>
            <w:r/>
            <w:r>
              <w:rPr>
                <w:rFonts w:ascii="Arial" w:hAnsi="Arial"/>
                <w:b w:val="0"/>
                <w:sz w:val="14"/>
              </w:rPr>
              <w:t>Israel Antiquities Authority / Leon Levy DSS Digital Library</w:t>
            </w:r>
          </w:p>
        </w:tc>
        <w:tc>
          <w:tcPr>
            <w:tcW w:type="dxa" w:w="4608"/>
            <w:vAlign w:val="top"/>
          </w:tcPr>
          <w:p>
            <w:pPr>
              <w:jc w:val="left"/>
            </w:pPr>
            <w:r/>
            <w:r>
              <w:rPr>
                <w:rFonts w:ascii="Arial" w:hAnsi="Arial"/>
                <w:b w:val="0"/>
                <w:sz w:val="14"/>
              </w:rPr>
              <w:t>https://www.deadseascrolls.org.il/</w:t>
            </w:r>
          </w:p>
        </w:tc>
      </w:tr>
      <w:tr>
        <w:tc>
          <w:tcPr>
            <w:tcW w:type="dxa" w:w="2448"/>
            <w:vAlign w:val="top"/>
          </w:tcPr>
          <w:p>
            <w:pPr>
              <w:jc w:val="left"/>
            </w:pPr>
            <w:r/>
            <w:r>
              <w:rPr>
                <w:rFonts w:ascii="Arial" w:hAnsi="Arial"/>
                <w:b w:val="0"/>
                <w:sz w:val="14"/>
              </w:rPr>
              <w:t>Dead Sea Scrolls introduction</w:t>
            </w:r>
          </w:p>
        </w:tc>
        <w:tc>
          <w:tcPr>
            <w:tcW w:type="dxa" w:w="3600"/>
            <w:vAlign w:val="top"/>
          </w:tcPr>
          <w:p>
            <w:pPr>
              <w:jc w:val="left"/>
            </w:pPr>
            <w:r/>
            <w:r>
              <w:rPr>
                <w:rFonts w:ascii="Arial" w:hAnsi="Arial"/>
                <w:b w:val="0"/>
                <w:sz w:val="14"/>
              </w:rPr>
              <w:t>IAA: dates, languages, materials, discovery context</w:t>
            </w:r>
          </w:p>
        </w:tc>
        <w:tc>
          <w:tcPr>
            <w:tcW w:type="dxa" w:w="4608"/>
            <w:vAlign w:val="top"/>
          </w:tcPr>
          <w:p>
            <w:pPr>
              <w:jc w:val="left"/>
            </w:pPr>
            <w:r/>
            <w:r>
              <w:rPr>
                <w:rFonts w:ascii="Arial" w:hAnsi="Arial"/>
                <w:b w:val="0"/>
                <w:sz w:val="14"/>
              </w:rPr>
              <w:t>https://www.deadseascrolls.org.il/learn-about-the-scrolls/introduction</w:t>
            </w:r>
          </w:p>
        </w:tc>
      </w:tr>
      <w:tr>
        <w:tc>
          <w:tcPr>
            <w:tcW w:type="dxa" w:w="2448"/>
            <w:vAlign w:val="top"/>
          </w:tcPr>
          <w:p>
            <w:pPr>
              <w:jc w:val="left"/>
            </w:pPr>
            <w:r/>
            <w:r>
              <w:rPr>
                <w:rFonts w:ascii="Arial" w:hAnsi="Arial"/>
                <w:b w:val="0"/>
                <w:sz w:val="14"/>
              </w:rPr>
              <w:t>Sefaria text library</w:t>
            </w:r>
          </w:p>
        </w:tc>
        <w:tc>
          <w:tcPr>
            <w:tcW w:type="dxa" w:w="3600"/>
            <w:vAlign w:val="top"/>
          </w:tcPr>
          <w:p>
            <w:pPr>
              <w:jc w:val="left"/>
            </w:pPr>
            <w:r/>
            <w:r>
              <w:rPr>
                <w:rFonts w:ascii="Arial" w:hAnsi="Arial"/>
                <w:b w:val="0"/>
                <w:sz w:val="14"/>
              </w:rPr>
              <w:t>Free online Jewish texts: Tanakh, Mishnah, Talmud, Midrash, commentaries</w:t>
            </w:r>
          </w:p>
        </w:tc>
        <w:tc>
          <w:tcPr>
            <w:tcW w:type="dxa" w:w="4608"/>
            <w:vAlign w:val="top"/>
          </w:tcPr>
          <w:p>
            <w:pPr>
              <w:jc w:val="left"/>
            </w:pPr>
            <w:r/>
            <w:r>
              <w:rPr>
                <w:rFonts w:ascii="Arial" w:hAnsi="Arial"/>
                <w:b w:val="0"/>
                <w:sz w:val="14"/>
              </w:rPr>
              <w:t>https://www.sefaria.org/texts</w:t>
            </w:r>
          </w:p>
        </w:tc>
      </w:tr>
      <w:tr>
        <w:tc>
          <w:tcPr>
            <w:tcW w:type="dxa" w:w="2448"/>
            <w:vAlign w:val="top"/>
          </w:tcPr>
          <w:p>
            <w:pPr>
              <w:jc w:val="left"/>
            </w:pPr>
            <w:r/>
            <w:r>
              <w:rPr>
                <w:rFonts w:ascii="Arial" w:hAnsi="Arial"/>
                <w:b w:val="0"/>
                <w:sz w:val="14"/>
              </w:rPr>
              <w:t>Sefaria Export</w:t>
            </w:r>
          </w:p>
        </w:tc>
        <w:tc>
          <w:tcPr>
            <w:tcW w:type="dxa" w:w="3600"/>
            <w:vAlign w:val="top"/>
          </w:tcPr>
          <w:p>
            <w:pPr>
              <w:jc w:val="left"/>
            </w:pPr>
            <w:r/>
            <w:r>
              <w:rPr>
                <w:rFonts w:ascii="Arial" w:hAnsi="Arial"/>
                <w:b w:val="0"/>
                <w:sz w:val="14"/>
              </w:rPr>
              <w:t>Structured Jewish texts and metadata export; check individual licenses</w:t>
            </w:r>
          </w:p>
        </w:tc>
        <w:tc>
          <w:tcPr>
            <w:tcW w:type="dxa" w:w="4608"/>
            <w:vAlign w:val="top"/>
          </w:tcPr>
          <w:p>
            <w:pPr>
              <w:jc w:val="left"/>
            </w:pPr>
            <w:r/>
            <w:r>
              <w:rPr>
                <w:rFonts w:ascii="Arial" w:hAnsi="Arial"/>
                <w:b w:val="0"/>
                <w:sz w:val="14"/>
              </w:rPr>
              <w:t>https://github.com/Sefaria/Sefaria-Export</w:t>
            </w:r>
          </w:p>
        </w:tc>
      </w:tr>
      <w:tr>
        <w:tc>
          <w:tcPr>
            <w:tcW w:type="dxa" w:w="2448"/>
            <w:vAlign w:val="top"/>
          </w:tcPr>
          <w:p>
            <w:pPr>
              <w:jc w:val="left"/>
            </w:pPr>
            <w:r/>
            <w:r>
              <w:rPr>
                <w:rFonts w:ascii="Arial" w:hAnsi="Arial"/>
                <w:b w:val="0"/>
                <w:sz w:val="14"/>
              </w:rPr>
              <w:t>Mishnah overview</w:t>
            </w:r>
          </w:p>
        </w:tc>
        <w:tc>
          <w:tcPr>
            <w:tcW w:type="dxa" w:w="3600"/>
            <w:vAlign w:val="top"/>
          </w:tcPr>
          <w:p>
            <w:pPr>
              <w:jc w:val="left"/>
            </w:pPr>
            <w:r/>
            <w:r>
              <w:rPr>
                <w:rFonts w:ascii="Arial" w:hAnsi="Arial"/>
                <w:b w:val="0"/>
                <w:sz w:val="14"/>
              </w:rPr>
              <w:t>Sefaria / Britannica summaries for redaction and structure</w:t>
            </w:r>
          </w:p>
        </w:tc>
        <w:tc>
          <w:tcPr>
            <w:tcW w:type="dxa" w:w="4608"/>
            <w:vAlign w:val="top"/>
          </w:tcPr>
          <w:p>
            <w:pPr>
              <w:jc w:val="left"/>
            </w:pPr>
            <w:r/>
            <w:r>
              <w:rPr>
                <w:rFonts w:ascii="Arial" w:hAnsi="Arial"/>
                <w:b w:val="0"/>
                <w:sz w:val="14"/>
              </w:rPr>
              <w:t>https://www.sefaria.org/texts/Mishnah</w:t>
            </w:r>
          </w:p>
        </w:tc>
      </w:tr>
      <w:tr>
        <w:tc>
          <w:tcPr>
            <w:tcW w:type="dxa" w:w="2448"/>
            <w:vAlign w:val="top"/>
          </w:tcPr>
          <w:p>
            <w:pPr>
              <w:jc w:val="left"/>
            </w:pPr>
            <w:r/>
            <w:r>
              <w:rPr>
                <w:rFonts w:ascii="Arial" w:hAnsi="Arial"/>
                <w:b w:val="0"/>
                <w:sz w:val="14"/>
              </w:rPr>
              <w:t>Philo</w:t>
            </w:r>
          </w:p>
        </w:tc>
        <w:tc>
          <w:tcPr>
            <w:tcW w:type="dxa" w:w="3600"/>
            <w:vAlign w:val="top"/>
          </w:tcPr>
          <w:p>
            <w:pPr>
              <w:jc w:val="left"/>
            </w:pPr>
            <w:r/>
            <w:r>
              <w:rPr>
                <w:rFonts w:ascii="Arial" w:hAnsi="Arial"/>
                <w:b w:val="0"/>
                <w:sz w:val="14"/>
              </w:rPr>
              <w:t>Britannica overview of Philo as Hellenistic Jewish philosopher</w:t>
            </w:r>
          </w:p>
        </w:tc>
        <w:tc>
          <w:tcPr>
            <w:tcW w:type="dxa" w:w="4608"/>
            <w:vAlign w:val="top"/>
          </w:tcPr>
          <w:p>
            <w:pPr>
              <w:jc w:val="left"/>
            </w:pPr>
            <w:r/>
            <w:r>
              <w:rPr>
                <w:rFonts w:ascii="Arial" w:hAnsi="Arial"/>
                <w:b w:val="0"/>
                <w:sz w:val="14"/>
              </w:rPr>
              <w:t>https://www.britannica.com/biography/Philo-Judaeus</w:t>
            </w:r>
          </w:p>
        </w:tc>
      </w:tr>
      <w:tr>
        <w:tc>
          <w:tcPr>
            <w:tcW w:type="dxa" w:w="2448"/>
            <w:vAlign w:val="top"/>
          </w:tcPr>
          <w:p>
            <w:pPr>
              <w:jc w:val="left"/>
            </w:pPr>
            <w:r/>
            <w:r>
              <w:rPr>
                <w:rFonts w:ascii="Arial" w:hAnsi="Arial"/>
                <w:b w:val="0"/>
                <w:sz w:val="14"/>
              </w:rPr>
              <w:t>Josephus: Antiquities / War</w:t>
            </w:r>
          </w:p>
        </w:tc>
        <w:tc>
          <w:tcPr>
            <w:tcW w:type="dxa" w:w="3600"/>
            <w:vAlign w:val="top"/>
          </w:tcPr>
          <w:p>
            <w:pPr>
              <w:jc w:val="left"/>
            </w:pPr>
            <w:r/>
            <w:r>
              <w:rPr>
                <w:rFonts w:ascii="Arial" w:hAnsi="Arial"/>
                <w:b w:val="0"/>
                <w:sz w:val="14"/>
              </w:rPr>
              <w:t>Britannica and Perseus/Scaife anchors</w:t>
            </w:r>
          </w:p>
        </w:tc>
        <w:tc>
          <w:tcPr>
            <w:tcW w:type="dxa" w:w="4608"/>
            <w:vAlign w:val="top"/>
          </w:tcPr>
          <w:p>
            <w:pPr>
              <w:jc w:val="left"/>
            </w:pPr>
            <w:r/>
            <w:r>
              <w:rPr>
                <w:rFonts w:ascii="Arial" w:hAnsi="Arial"/>
                <w:b w:val="0"/>
                <w:sz w:val="14"/>
              </w:rPr>
              <w:t>https://scaife.perseus.org/library/urn:cts:greekLit:tlg0526/</w:t>
            </w:r>
          </w:p>
        </w:tc>
      </w:tr>
      <w:tr>
        <w:tc>
          <w:tcPr>
            <w:tcW w:type="dxa" w:w="2448"/>
            <w:vAlign w:val="top"/>
          </w:tcPr>
          <w:p>
            <w:pPr>
              <w:jc w:val="left"/>
            </w:pPr>
            <w:r/>
            <w:r>
              <w:rPr>
                <w:rFonts w:ascii="Arial" w:hAnsi="Arial"/>
                <w:b w:val="0"/>
                <w:sz w:val="14"/>
              </w:rPr>
              <w:t>Septuagint</w:t>
            </w:r>
          </w:p>
        </w:tc>
        <w:tc>
          <w:tcPr>
            <w:tcW w:type="dxa" w:w="3600"/>
            <w:vAlign w:val="top"/>
          </w:tcPr>
          <w:p>
            <w:pPr>
              <w:jc w:val="left"/>
            </w:pPr>
            <w:r/>
            <w:r>
              <w:rPr>
                <w:rFonts w:ascii="Arial" w:hAnsi="Arial"/>
                <w:b w:val="0"/>
                <w:sz w:val="14"/>
              </w:rPr>
              <w:t>Britannica overview and textual history</w:t>
            </w:r>
          </w:p>
        </w:tc>
        <w:tc>
          <w:tcPr>
            <w:tcW w:type="dxa" w:w="4608"/>
            <w:vAlign w:val="top"/>
          </w:tcPr>
          <w:p>
            <w:pPr>
              <w:jc w:val="left"/>
            </w:pPr>
            <w:r/>
            <w:r>
              <w:rPr>
                <w:rFonts w:ascii="Arial" w:hAnsi="Arial"/>
                <w:b w:val="0"/>
                <w:sz w:val="14"/>
              </w:rPr>
              <w:t>https://www.britannica.com/topic/Septuagint</w:t>
            </w:r>
          </w:p>
        </w:tc>
      </w:tr>
      <w:tr>
        <w:tc>
          <w:tcPr>
            <w:tcW w:type="dxa" w:w="2448"/>
            <w:vAlign w:val="top"/>
          </w:tcPr>
          <w:p>
            <w:pPr>
              <w:jc w:val="left"/>
            </w:pPr>
            <w:r/>
            <w:r>
              <w:rPr>
                <w:rFonts w:ascii="Arial" w:hAnsi="Arial"/>
                <w:b w:val="0"/>
                <w:sz w:val="14"/>
              </w:rPr>
              <w:t>Babylonian Talmud</w:t>
            </w:r>
          </w:p>
        </w:tc>
        <w:tc>
          <w:tcPr>
            <w:tcW w:type="dxa" w:w="3600"/>
            <w:vAlign w:val="top"/>
          </w:tcPr>
          <w:p>
            <w:pPr>
              <w:jc w:val="left"/>
            </w:pPr>
            <w:r/>
            <w:r>
              <w:rPr>
                <w:rFonts w:ascii="Arial" w:hAnsi="Arial"/>
                <w:b w:val="0"/>
                <w:sz w:val="14"/>
              </w:rPr>
              <w:t>Britannica overview; completed about 600 CE</w:t>
            </w:r>
          </w:p>
        </w:tc>
        <w:tc>
          <w:tcPr>
            <w:tcW w:type="dxa" w:w="4608"/>
            <w:vAlign w:val="top"/>
          </w:tcPr>
          <w:p>
            <w:pPr>
              <w:jc w:val="left"/>
            </w:pPr>
            <w:r/>
            <w:r>
              <w:rPr>
                <w:rFonts w:ascii="Arial" w:hAnsi="Arial"/>
                <w:b w:val="0"/>
                <w:sz w:val="14"/>
              </w:rPr>
              <w:t>https://www.britannica.com/topic/Bavli</w:t>
            </w:r>
          </w:p>
        </w:tc>
      </w:tr>
      <w:tr>
        <w:tc>
          <w:tcPr>
            <w:tcW w:type="dxa" w:w="2448"/>
            <w:vAlign w:val="top"/>
          </w:tcPr>
          <w:p>
            <w:pPr>
              <w:jc w:val="left"/>
            </w:pPr>
            <w:r/>
            <w:r>
              <w:rPr>
                <w:rFonts w:ascii="Arial" w:hAnsi="Arial"/>
                <w:b w:val="0"/>
                <w:sz w:val="14"/>
              </w:rPr>
              <w:t>Ḥimyar Judaism</w:t>
            </w:r>
          </w:p>
        </w:tc>
        <w:tc>
          <w:tcPr>
            <w:tcW w:type="dxa" w:w="3600"/>
            <w:vAlign w:val="top"/>
          </w:tcPr>
          <w:p>
            <w:pPr>
              <w:jc w:val="left"/>
            </w:pPr>
            <w:r/>
            <w:r>
              <w:rPr>
                <w:rFonts w:ascii="Arial" w:hAnsi="Arial"/>
                <w:b w:val="0"/>
                <w:sz w:val="14"/>
              </w:rPr>
              <w:t>Christian Julien Robin, open access chapter on Judaism of ancient Ḥimyar</w:t>
            </w:r>
          </w:p>
        </w:tc>
        <w:tc>
          <w:tcPr>
            <w:tcW w:type="dxa" w:w="4608"/>
            <w:vAlign w:val="top"/>
          </w:tcPr>
          <w:p>
            <w:pPr>
              <w:jc w:val="left"/>
            </w:pPr>
            <w:r/>
            <w:r>
              <w:rPr>
                <w:rFonts w:ascii="Arial" w:hAnsi="Arial"/>
                <w:b w:val="0"/>
                <w:sz w:val="14"/>
              </w:rPr>
              <w:t>https://books.openbookpublishers.com/10.11647/obp.0219/ch7.xhtml</w:t>
            </w:r>
          </w:p>
        </w:tc>
      </w:tr>
      <w:tr>
        <w:tc>
          <w:tcPr>
            <w:tcW w:type="dxa" w:w="2448"/>
            <w:vAlign w:val="top"/>
          </w:tcPr>
          <w:p>
            <w:pPr>
              <w:jc w:val="left"/>
            </w:pPr>
            <w:r/>
            <w:r>
              <w:rPr>
                <w:rFonts w:ascii="Arial" w:hAnsi="Arial"/>
                <w:b w:val="0"/>
                <w:sz w:val="14"/>
              </w:rPr>
              <w:t>Jews of northern Arabia</w:t>
            </w:r>
          </w:p>
        </w:tc>
        <w:tc>
          <w:tcPr>
            <w:tcW w:type="dxa" w:w="3600"/>
            <w:vAlign w:val="top"/>
          </w:tcPr>
          <w:p>
            <w:pPr>
              <w:jc w:val="left"/>
            </w:pPr>
            <w:r/>
            <w:r>
              <w:rPr>
                <w:rFonts w:ascii="Arial" w:hAnsi="Arial"/>
                <w:b w:val="0"/>
                <w:sz w:val="14"/>
              </w:rPr>
              <w:t>Cambridge History of Judaism chapter metadata</w:t>
            </w:r>
          </w:p>
        </w:tc>
        <w:tc>
          <w:tcPr>
            <w:tcW w:type="dxa" w:w="4608"/>
            <w:vAlign w:val="top"/>
          </w:tcPr>
          <w:p>
            <w:pPr>
              <w:jc w:val="left"/>
            </w:pPr>
            <w:r/>
            <w:r>
              <w:rPr>
                <w:rFonts w:ascii="Arial" w:hAnsi="Arial"/>
                <w:b w:val="0"/>
                <w:sz w:val="14"/>
              </w:rPr>
              <w:t>https://www.cambridge.org/core/books/cambridge-history-of-judaism/jews-of-northern-arabia-in-early-islam/523E13AB5834ED16226D46BACD6354CF</w:t>
            </w:r>
          </w:p>
        </w:tc>
      </w:tr>
      <w:tr>
        <w:tc>
          <w:tcPr>
            <w:tcW w:type="dxa" w:w="2448"/>
            <w:vAlign w:val="top"/>
          </w:tcPr>
          <w:p>
            <w:pPr>
              <w:jc w:val="left"/>
            </w:pPr>
            <w:r/>
            <w:r>
              <w:rPr>
                <w:rFonts w:ascii="Arial" w:hAnsi="Arial"/>
                <w:b w:val="0"/>
                <w:sz w:val="14"/>
              </w:rPr>
              <w:t>Michael Lecker</w:t>
            </w:r>
          </w:p>
        </w:tc>
        <w:tc>
          <w:tcPr>
            <w:tcW w:type="dxa" w:w="3600"/>
            <w:vAlign w:val="top"/>
          </w:tcPr>
          <w:p>
            <w:pPr>
              <w:jc w:val="left"/>
            </w:pPr>
            <w:r/>
            <w:r>
              <w:rPr>
                <w:rFonts w:ascii="Arial" w:hAnsi="Arial"/>
                <w:b w:val="0"/>
                <w:sz w:val="14"/>
              </w:rPr>
              <w:t>Jews and Arabs in Pre- and Early Islamic Arabia</w:t>
            </w:r>
          </w:p>
        </w:tc>
        <w:tc>
          <w:tcPr>
            <w:tcW w:type="dxa" w:w="4608"/>
            <w:vAlign w:val="top"/>
          </w:tcPr>
          <w:p>
            <w:pPr>
              <w:jc w:val="left"/>
            </w:pPr>
            <w:r/>
            <w:r>
              <w:rPr>
                <w:rFonts w:ascii="Arial" w:hAnsi="Arial"/>
                <w:b w:val="0"/>
                <w:sz w:val="14"/>
              </w:rPr>
              <w:t>https://almuslih.org/wp-content/uploads/2024/11/Lecker-M-Jews-and-Arabs-in-Pre-and-Early-Islamic-Arabia.pdf</w:t>
            </w:r>
          </w:p>
        </w:tc>
      </w:tr>
    </w:tbl>
    <w:p>
      <w:pPr>
        <w:pStyle w:val="Heading2"/>
      </w:pPr>
      <w:r>
        <w:t>11.1 Modern scholarship shelf</w:t>
      </w:r>
    </w:p>
    <w:tbl>
      <w:tblPr>
        <w:tblStyle w:val="TableGrid"/>
        <w:tblW w:type="auto" w:w="0"/>
        <w:jc w:val="center"/>
        <w:tblLayout w:type="autofit"/>
        <w:tblLook w:firstColumn="1" w:firstRow="1" w:lastColumn="0" w:lastRow="0" w:noHBand="0" w:noVBand="1" w:val="04A0"/>
      </w:tblPr>
      <w:tblGrid>
        <w:gridCol w:w="3552"/>
        <w:gridCol w:w="3552"/>
        <w:gridCol w:w="3552"/>
      </w:tblGrid>
      <w:tr>
        <w:tc>
          <w:tcPr>
            <w:tcW w:type="dxa" w:w="2304"/>
            <w:shd w:fill="1F4E79"/>
          </w:tcPr>
          <w:p>
            <w:pPr>
              <w:jc w:val="left"/>
            </w:pPr>
            <w:r/>
            <w:r>
              <w:rPr>
                <w:rFonts w:ascii="Arial" w:hAnsi="Arial"/>
                <w:b/>
                <w:color w:val="FFFFFF"/>
                <w:sz w:val="16"/>
              </w:rPr>
              <w:t>Author</w:t>
            </w:r>
          </w:p>
        </w:tc>
        <w:tc>
          <w:tcPr>
            <w:tcW w:type="dxa" w:w="3312"/>
            <w:shd w:fill="1F4E79"/>
          </w:tcPr>
          <w:p>
            <w:pPr>
              <w:jc w:val="left"/>
            </w:pPr>
            <w:r/>
            <w:r>
              <w:rPr>
                <w:rFonts w:ascii="Arial" w:hAnsi="Arial"/>
                <w:b/>
                <w:color w:val="FFFFFF"/>
                <w:sz w:val="16"/>
              </w:rPr>
              <w:t>Work / area</w:t>
            </w:r>
          </w:p>
        </w:tc>
        <w:tc>
          <w:tcPr>
            <w:tcW w:type="dxa" w:w="4896"/>
            <w:shd w:fill="1F4E79"/>
          </w:tcPr>
          <w:p>
            <w:pPr>
              <w:jc w:val="left"/>
            </w:pPr>
            <w:r/>
            <w:r>
              <w:rPr>
                <w:rFonts w:ascii="Arial" w:hAnsi="Arial"/>
                <w:b/>
                <w:color w:val="FFFFFF"/>
                <w:sz w:val="16"/>
              </w:rPr>
              <w:t>Why useful</w:t>
            </w:r>
          </w:p>
        </w:tc>
      </w:tr>
      <w:tr>
        <w:tc>
          <w:tcPr>
            <w:tcW w:type="dxa" w:w="2304"/>
            <w:vAlign w:val="top"/>
          </w:tcPr>
          <w:p>
            <w:pPr>
              <w:jc w:val="left"/>
            </w:pPr>
            <w:r/>
            <w:r>
              <w:rPr>
                <w:rFonts w:ascii="Arial" w:hAnsi="Arial"/>
                <w:b w:val="0"/>
                <w:sz w:val="16"/>
              </w:rPr>
              <w:t>Shaye J. D. Cohen</w:t>
            </w:r>
          </w:p>
        </w:tc>
        <w:tc>
          <w:tcPr>
            <w:tcW w:type="dxa" w:w="3312"/>
            <w:vAlign w:val="top"/>
          </w:tcPr>
          <w:p>
            <w:pPr>
              <w:jc w:val="left"/>
            </w:pPr>
            <w:r/>
            <w:r>
              <w:rPr>
                <w:rFonts w:ascii="Arial" w:hAnsi="Arial"/>
                <w:b w:val="0"/>
                <w:sz w:val="16"/>
              </w:rPr>
              <w:t>From the Maccabees to the Mishnah</w:t>
            </w:r>
          </w:p>
        </w:tc>
        <w:tc>
          <w:tcPr>
            <w:tcW w:type="dxa" w:w="4896"/>
            <w:vAlign w:val="top"/>
          </w:tcPr>
          <w:p>
            <w:pPr>
              <w:jc w:val="left"/>
            </w:pPr>
            <w:r/>
            <w:r>
              <w:rPr>
                <w:rFonts w:ascii="Arial" w:hAnsi="Arial"/>
                <w:b w:val="0"/>
                <w:sz w:val="16"/>
              </w:rPr>
              <w:t>Excellent bridge from Second Temple to early rabbinic Judaism.</w:t>
            </w:r>
          </w:p>
        </w:tc>
      </w:tr>
      <w:tr>
        <w:tc>
          <w:tcPr>
            <w:tcW w:type="dxa" w:w="2304"/>
            <w:vAlign w:val="top"/>
          </w:tcPr>
          <w:p>
            <w:pPr>
              <w:jc w:val="left"/>
            </w:pPr>
            <w:r/>
            <w:r>
              <w:rPr>
                <w:rFonts w:ascii="Arial" w:hAnsi="Arial"/>
                <w:b w:val="0"/>
                <w:sz w:val="16"/>
              </w:rPr>
              <w:t>Martin Goodman</w:t>
            </w:r>
          </w:p>
        </w:tc>
        <w:tc>
          <w:tcPr>
            <w:tcW w:type="dxa" w:w="3312"/>
            <w:vAlign w:val="top"/>
          </w:tcPr>
          <w:p>
            <w:pPr>
              <w:jc w:val="left"/>
            </w:pPr>
            <w:r/>
            <w:r>
              <w:rPr>
                <w:rFonts w:ascii="Arial" w:hAnsi="Arial"/>
                <w:b w:val="0"/>
                <w:sz w:val="16"/>
              </w:rPr>
              <w:t>A History of Judaism</w:t>
            </w:r>
          </w:p>
        </w:tc>
        <w:tc>
          <w:tcPr>
            <w:tcW w:type="dxa" w:w="4896"/>
            <w:vAlign w:val="top"/>
          </w:tcPr>
          <w:p>
            <w:pPr>
              <w:jc w:val="left"/>
            </w:pPr>
            <w:r/>
            <w:r>
              <w:rPr>
                <w:rFonts w:ascii="Arial" w:hAnsi="Arial"/>
                <w:b w:val="0"/>
                <w:sz w:val="16"/>
              </w:rPr>
              <w:t>Broad historical synthesis from antiquity to modernity; use for period overview.</w:t>
            </w:r>
          </w:p>
        </w:tc>
      </w:tr>
      <w:tr>
        <w:tc>
          <w:tcPr>
            <w:tcW w:type="dxa" w:w="2304"/>
            <w:vAlign w:val="top"/>
          </w:tcPr>
          <w:p>
            <w:pPr>
              <w:jc w:val="left"/>
            </w:pPr>
            <w:r/>
            <w:r>
              <w:rPr>
                <w:rFonts w:ascii="Arial" w:hAnsi="Arial"/>
                <w:b w:val="0"/>
                <w:sz w:val="16"/>
              </w:rPr>
              <w:t>Seth Schwartz</w:t>
            </w:r>
          </w:p>
        </w:tc>
        <w:tc>
          <w:tcPr>
            <w:tcW w:type="dxa" w:w="3312"/>
            <w:vAlign w:val="top"/>
          </w:tcPr>
          <w:p>
            <w:pPr>
              <w:jc w:val="left"/>
            </w:pPr>
            <w:r/>
            <w:r>
              <w:rPr>
                <w:rFonts w:ascii="Arial" w:hAnsi="Arial"/>
                <w:b w:val="0"/>
                <w:sz w:val="16"/>
              </w:rPr>
              <w:t>Imperialism and Jewish Society</w:t>
            </w:r>
          </w:p>
        </w:tc>
        <w:tc>
          <w:tcPr>
            <w:tcW w:type="dxa" w:w="4896"/>
            <w:vAlign w:val="top"/>
          </w:tcPr>
          <w:p>
            <w:pPr>
              <w:jc w:val="left"/>
            </w:pPr>
            <w:r/>
            <w:r>
              <w:rPr>
                <w:rFonts w:ascii="Arial" w:hAnsi="Arial"/>
                <w:b w:val="0"/>
                <w:sz w:val="16"/>
              </w:rPr>
              <w:t>Important for Jewish society under Roman/Byzantine imperial conditions.</w:t>
            </w:r>
          </w:p>
        </w:tc>
      </w:tr>
      <w:tr>
        <w:tc>
          <w:tcPr>
            <w:tcW w:type="dxa" w:w="2304"/>
            <w:vAlign w:val="top"/>
          </w:tcPr>
          <w:p>
            <w:pPr>
              <w:jc w:val="left"/>
            </w:pPr>
            <w:r/>
            <w:r>
              <w:rPr>
                <w:rFonts w:ascii="Arial" w:hAnsi="Arial"/>
                <w:b w:val="0"/>
                <w:sz w:val="16"/>
              </w:rPr>
              <w:t>Peter Schäfer</w:t>
            </w:r>
          </w:p>
        </w:tc>
        <w:tc>
          <w:tcPr>
            <w:tcW w:type="dxa" w:w="3312"/>
            <w:vAlign w:val="top"/>
          </w:tcPr>
          <w:p>
            <w:pPr>
              <w:jc w:val="left"/>
            </w:pPr>
            <w:r/>
            <w:r>
              <w:rPr>
                <w:rFonts w:ascii="Arial" w:hAnsi="Arial"/>
                <w:b w:val="0"/>
                <w:sz w:val="16"/>
              </w:rPr>
              <w:t>The History of the Jews in Antiquity / Judeophobia</w:t>
            </w:r>
          </w:p>
        </w:tc>
        <w:tc>
          <w:tcPr>
            <w:tcW w:type="dxa" w:w="4896"/>
            <w:vAlign w:val="top"/>
          </w:tcPr>
          <w:p>
            <w:pPr>
              <w:jc w:val="left"/>
            </w:pPr>
            <w:r/>
            <w:r>
              <w:rPr>
                <w:rFonts w:ascii="Arial" w:hAnsi="Arial"/>
                <w:b w:val="0"/>
                <w:sz w:val="16"/>
              </w:rPr>
              <w:t>Useful for late antique and Greco-Roman context.</w:t>
            </w:r>
          </w:p>
        </w:tc>
      </w:tr>
      <w:tr>
        <w:tc>
          <w:tcPr>
            <w:tcW w:type="dxa" w:w="2304"/>
            <w:vAlign w:val="top"/>
          </w:tcPr>
          <w:p>
            <w:pPr>
              <w:jc w:val="left"/>
            </w:pPr>
            <w:r/>
            <w:r>
              <w:rPr>
                <w:rFonts w:ascii="Arial" w:hAnsi="Arial"/>
                <w:b w:val="0"/>
                <w:sz w:val="16"/>
              </w:rPr>
              <w:t>Jacob Neusner</w:t>
            </w:r>
          </w:p>
        </w:tc>
        <w:tc>
          <w:tcPr>
            <w:tcW w:type="dxa" w:w="3312"/>
            <w:vAlign w:val="top"/>
          </w:tcPr>
          <w:p>
            <w:pPr>
              <w:jc w:val="left"/>
            </w:pPr>
            <w:r/>
            <w:r>
              <w:rPr>
                <w:rFonts w:ascii="Arial" w:hAnsi="Arial"/>
                <w:b w:val="0"/>
                <w:sz w:val="16"/>
              </w:rPr>
              <w:t>Introductions to rabbinic literature</w:t>
            </w:r>
          </w:p>
        </w:tc>
        <w:tc>
          <w:tcPr>
            <w:tcW w:type="dxa" w:w="4896"/>
            <w:vAlign w:val="top"/>
          </w:tcPr>
          <w:p>
            <w:pPr>
              <w:jc w:val="left"/>
            </w:pPr>
            <w:r/>
            <w:r>
              <w:rPr>
                <w:rFonts w:ascii="Arial" w:hAnsi="Arial"/>
                <w:b w:val="0"/>
                <w:sz w:val="16"/>
              </w:rPr>
              <w:t>Useful for mapping rabbinic corpora; use critically because methodology is debated.</w:t>
            </w:r>
          </w:p>
        </w:tc>
      </w:tr>
      <w:tr>
        <w:tc>
          <w:tcPr>
            <w:tcW w:type="dxa" w:w="2304"/>
            <w:vAlign w:val="top"/>
          </w:tcPr>
          <w:p>
            <w:pPr>
              <w:jc w:val="left"/>
            </w:pPr>
            <w:r/>
            <w:r>
              <w:rPr>
                <w:rFonts w:ascii="Arial" w:hAnsi="Arial"/>
                <w:b w:val="0"/>
                <w:sz w:val="16"/>
              </w:rPr>
              <w:t>Gordon Newby</w:t>
            </w:r>
          </w:p>
        </w:tc>
        <w:tc>
          <w:tcPr>
            <w:tcW w:type="dxa" w:w="3312"/>
            <w:vAlign w:val="top"/>
          </w:tcPr>
          <w:p>
            <w:pPr>
              <w:jc w:val="left"/>
            </w:pPr>
            <w:r/>
            <w:r>
              <w:rPr>
                <w:rFonts w:ascii="Arial" w:hAnsi="Arial"/>
                <w:b w:val="0"/>
                <w:sz w:val="16"/>
              </w:rPr>
              <w:t>A History of the Jews of Arabia</w:t>
            </w:r>
          </w:p>
        </w:tc>
        <w:tc>
          <w:tcPr>
            <w:tcW w:type="dxa" w:w="4896"/>
            <w:vAlign w:val="top"/>
          </w:tcPr>
          <w:p>
            <w:pPr>
              <w:jc w:val="left"/>
            </w:pPr>
            <w:r/>
            <w:r>
              <w:rPr>
                <w:rFonts w:ascii="Arial" w:hAnsi="Arial"/>
                <w:b w:val="0"/>
                <w:sz w:val="16"/>
              </w:rPr>
              <w:t>Directly relevant to pre/early Islamic Arabian Jewish communities.</w:t>
            </w:r>
          </w:p>
        </w:tc>
      </w:tr>
      <w:tr>
        <w:tc>
          <w:tcPr>
            <w:tcW w:type="dxa" w:w="2304"/>
            <w:vAlign w:val="top"/>
          </w:tcPr>
          <w:p>
            <w:pPr>
              <w:jc w:val="left"/>
            </w:pPr>
            <w:r/>
            <w:r>
              <w:rPr>
                <w:rFonts w:ascii="Arial" w:hAnsi="Arial"/>
                <w:b w:val="0"/>
                <w:sz w:val="16"/>
              </w:rPr>
              <w:t>Michael Lecker</w:t>
            </w:r>
          </w:p>
        </w:tc>
        <w:tc>
          <w:tcPr>
            <w:tcW w:type="dxa" w:w="3312"/>
            <w:vAlign w:val="top"/>
          </w:tcPr>
          <w:p>
            <w:pPr>
              <w:jc w:val="left"/>
            </w:pPr>
            <w:r/>
            <w:r>
              <w:rPr>
                <w:rFonts w:ascii="Arial" w:hAnsi="Arial"/>
                <w:b w:val="0"/>
                <w:sz w:val="16"/>
              </w:rPr>
              <w:t>Jews and Arabs in Pre- and Early Islamic Arabia</w:t>
            </w:r>
          </w:p>
        </w:tc>
        <w:tc>
          <w:tcPr>
            <w:tcW w:type="dxa" w:w="4896"/>
            <w:vAlign w:val="top"/>
          </w:tcPr>
          <w:p>
            <w:pPr>
              <w:jc w:val="left"/>
            </w:pPr>
            <w:r/>
            <w:r>
              <w:rPr>
                <w:rFonts w:ascii="Arial" w:hAnsi="Arial"/>
                <w:b w:val="0"/>
                <w:sz w:val="16"/>
              </w:rPr>
              <w:t>Key specialist studies for Arabia; use with Islamic source criticism.</w:t>
            </w:r>
          </w:p>
        </w:tc>
      </w:tr>
      <w:tr>
        <w:tc>
          <w:tcPr>
            <w:tcW w:type="dxa" w:w="2304"/>
            <w:vAlign w:val="top"/>
          </w:tcPr>
          <w:p>
            <w:pPr>
              <w:jc w:val="left"/>
            </w:pPr>
            <w:r/>
            <w:r>
              <w:rPr>
                <w:rFonts w:ascii="Arial" w:hAnsi="Arial"/>
                <w:b w:val="0"/>
                <w:sz w:val="16"/>
              </w:rPr>
              <w:t>Christian Julien Robin</w:t>
            </w:r>
          </w:p>
        </w:tc>
        <w:tc>
          <w:tcPr>
            <w:tcW w:type="dxa" w:w="3312"/>
            <w:vAlign w:val="top"/>
          </w:tcPr>
          <w:p>
            <w:pPr>
              <w:jc w:val="left"/>
            </w:pPr>
            <w:r/>
            <w:r>
              <w:rPr>
                <w:rFonts w:ascii="Arial" w:hAnsi="Arial"/>
                <w:b w:val="0"/>
                <w:sz w:val="16"/>
              </w:rPr>
              <w:t>Ḥimyar and South Arabian epigraphy</w:t>
            </w:r>
          </w:p>
        </w:tc>
        <w:tc>
          <w:tcPr>
            <w:tcW w:type="dxa" w:w="4896"/>
            <w:vAlign w:val="top"/>
          </w:tcPr>
          <w:p>
            <w:pPr>
              <w:jc w:val="left"/>
            </w:pPr>
            <w:r/>
            <w:r>
              <w:rPr>
                <w:rFonts w:ascii="Arial" w:hAnsi="Arial"/>
                <w:b w:val="0"/>
                <w:sz w:val="16"/>
              </w:rPr>
              <w:t>Essential for inscriptions and Jewish Ḥimyar.</w:t>
            </w:r>
          </w:p>
        </w:tc>
      </w:tr>
      <w:tr>
        <w:tc>
          <w:tcPr>
            <w:tcW w:type="dxa" w:w="2304"/>
            <w:vAlign w:val="top"/>
          </w:tcPr>
          <w:p>
            <w:pPr>
              <w:jc w:val="left"/>
            </w:pPr>
            <w:r/>
            <w:r>
              <w:rPr>
                <w:rFonts w:ascii="Arial" w:hAnsi="Arial"/>
                <w:b w:val="0"/>
                <w:sz w:val="16"/>
              </w:rPr>
              <w:t>Robert Hoyland</w:t>
            </w:r>
          </w:p>
        </w:tc>
        <w:tc>
          <w:tcPr>
            <w:tcW w:type="dxa" w:w="3312"/>
            <w:vAlign w:val="top"/>
          </w:tcPr>
          <w:p>
            <w:pPr>
              <w:jc w:val="left"/>
            </w:pPr>
            <w:r/>
            <w:r>
              <w:rPr>
                <w:rFonts w:ascii="Arial" w:hAnsi="Arial"/>
                <w:b w:val="0"/>
                <w:sz w:val="16"/>
              </w:rPr>
              <w:t>Arabia and the Arabs / Seeing Islam as Others Saw It</w:t>
            </w:r>
          </w:p>
        </w:tc>
        <w:tc>
          <w:tcPr>
            <w:tcW w:type="dxa" w:w="4896"/>
            <w:vAlign w:val="top"/>
          </w:tcPr>
          <w:p>
            <w:pPr>
              <w:jc w:val="left"/>
            </w:pPr>
            <w:r/>
            <w:r>
              <w:rPr>
                <w:rFonts w:ascii="Arial" w:hAnsi="Arial"/>
                <w:b w:val="0"/>
                <w:sz w:val="16"/>
              </w:rPr>
              <w:t>External late antique sources and Arabian context.</w:t>
            </w:r>
          </w:p>
        </w:tc>
      </w:tr>
      <w:tr>
        <w:tc>
          <w:tcPr>
            <w:tcW w:type="dxa" w:w="2304"/>
            <w:vAlign w:val="top"/>
          </w:tcPr>
          <w:p>
            <w:pPr>
              <w:jc w:val="left"/>
            </w:pPr>
            <w:r/>
            <w:r>
              <w:rPr>
                <w:rFonts w:ascii="Arial" w:hAnsi="Arial"/>
                <w:b w:val="0"/>
                <w:sz w:val="16"/>
              </w:rPr>
              <w:t>Gabriel Said Reynolds / Michael Pregill / Nicolai Sinai</w:t>
            </w:r>
          </w:p>
        </w:tc>
        <w:tc>
          <w:tcPr>
            <w:tcW w:type="dxa" w:w="3312"/>
            <w:vAlign w:val="top"/>
          </w:tcPr>
          <w:p>
            <w:pPr>
              <w:jc w:val="left"/>
            </w:pPr>
            <w:r/>
            <w:r>
              <w:rPr>
                <w:rFonts w:ascii="Arial" w:hAnsi="Arial"/>
                <w:b w:val="0"/>
                <w:sz w:val="16"/>
              </w:rPr>
              <w:t>Qur'an and biblical/later antique context studies</w:t>
            </w:r>
          </w:p>
        </w:tc>
        <w:tc>
          <w:tcPr>
            <w:tcW w:type="dxa" w:w="4896"/>
            <w:vAlign w:val="top"/>
          </w:tcPr>
          <w:p>
            <w:pPr>
              <w:jc w:val="left"/>
            </w:pPr>
            <w:r/>
            <w:r>
              <w:rPr>
                <w:rFonts w:ascii="Arial" w:hAnsi="Arial"/>
                <w:b w:val="0"/>
                <w:sz w:val="16"/>
              </w:rPr>
              <w:t>Use as modern comparative control, not primary Jewish evidence.</w:t>
            </w:r>
          </w:p>
        </w:tc>
      </w:tr>
    </w:tbl>
    <w:p>
      <w:pPr>
        <w:pStyle w:val="Heading1"/>
      </w:pPr>
      <w:r>
        <w:t>Final Architecture Rule</w:t>
      </w:r>
    </w:p>
    <w:tbl>
      <w:tblPr>
        <w:tblStyle w:val="TableGrid"/>
        <w:tblW w:type="auto" w:w="0"/>
        <w:tblLook w:firstColumn="1" w:firstRow="1" w:lastColumn="0" w:lastRow="0" w:noHBand="0" w:noVBand="1" w:val="04A0"/>
      </w:tblPr>
      <w:tblGrid>
        <w:gridCol w:w="10656"/>
      </w:tblGrid>
      <w:tr>
        <w:tc>
          <w:tcPr>
            <w:tcW w:type="dxa" w:w="10656"/>
            <w:shd w:fill="D9EAF7"/>
          </w:tcPr>
          <w:p>
            <w:r/>
            <w:r>
              <w:rPr>
                <w:b/>
                <w:sz w:val="20"/>
              </w:rPr>
              <w:t>Store pre-Islamic Jewish sources as worldview evidence, not Qur'an source data. Use them to map historical environment, community evolution, authority models, covenant thought, rabbinic transition, late antique monotheism, and Arabian Jewish presence. Link to Qur'anic passages only when a reviewed bridge exists.</w:t>
            </w:r>
          </w:p>
        </w:tc>
      </w:tr>
    </w:tbl>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rial" w:hAnsi="Arial"/>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80"/>
      <w:ind w:left="216" w:right="216"/>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k-maps Worldview: Pre-Islamic Jewish Sources &amp; History Source Strategy</dc:title>
  <dc:subject>Worldview Islamic Studies General source ingestion strategy</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