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 w:cs="Noto Sans Arabic"/>
          <w:b/>
          <w:i w:val="0"/>
          <w:color w:val="1F4E79"/>
          <w:sz w:val="50"/>
        </w:rPr>
        <w:t>k-maps Worldview Source Strategy</w:t>
      </w:r>
    </w:p>
    <w:p>
      <w:pPr>
        <w:jc w:val="center"/>
      </w:pPr>
      <w:r>
        <w:rPr>
          <w:rFonts w:ascii="Aptos Display" w:hAnsi="Aptos Display" w:eastAsia="Aptos Display" w:cs="Noto Sans Arabic"/>
          <w:b w:val="0"/>
          <w:i w:val="0"/>
          <w:color w:val="2F5597"/>
          <w:sz w:val="32"/>
        </w:rPr>
        <w:t>Islamic Studies General: Early Muslim Community, Thought Evolution, and Civilizational Priorities</w:t>
      </w:r>
    </w:p>
    <w:p>
      <w:pPr>
        <w:jc w:val="right"/>
        <w:bidi/>
      </w:pPr>
      <w:r>
        <w:rPr>
          <w:rFonts w:ascii="Noto Sans Arabic" w:hAnsi="Noto Sans Arabic" w:eastAsia="Noto Sans Arabic" w:cs="Noto Sans Arabic"/>
          <w:b w:val="0"/>
          <w:i w:val="0"/>
          <w:sz w:val="24"/>
        </w:rPr>
        <w:t>خطة مصادر لقسم الرؤية الكونية: الدراسات الإسلامية العامة وتطور الفكر والأولويات</w:t>
      </w:r>
    </w:p>
    <w:p>
      <w:pPr>
        <w:jc w:val="center"/>
      </w:pPr>
      <w:r>
        <w:rPr>
          <w:rFonts w:ascii="Aptos" w:hAnsi="Aptos" w:eastAsia="Aptos" w:cs="Noto Sans Arabic"/>
          <w:b w:val="0"/>
          <w:i/>
          <w:sz w:val="21"/>
        </w:rPr>
        <w:t>Placement correction: these books and themes should live primarily in km_worldview, not km_quran. Qur’anic links are references only, through qr_scope_ref / node links / evidence links.</w:t>
      </w:r>
    </w:p>
    <w:p>
      <w:pPr>
        <w:jc w:val="center"/>
      </w:pPr>
      <w:r>
        <w:rPr>
          <w:rFonts w:ascii="Aptos" w:hAnsi="Aptos" w:eastAsia="Aptos" w:cs="Noto Sans Arabic"/>
          <w:b w:val="0"/>
          <w:i w:val="0"/>
          <w:color w:val="666666"/>
          <w:sz w:val="17"/>
        </w:rPr>
        <w:t>Generated 2026-05-05 from the uploaded km_worldview schema.</w:t>
      </w:r>
    </w:p>
    <w:p>
      <w:r>
        <w:br w:type="page"/>
      </w:r>
    </w:p>
    <w:p>
      <w:pPr>
        <w:pStyle w:val="Heading1"/>
      </w:pPr>
      <w:r>
        <w:t>1. Correct Placement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</w:tcPr>
          <w:p>
            <w:pPr>
              <w:spacing w:after="60"/>
            </w:pPr>
            <w:r>
              <w:rPr>
                <w:rFonts w:ascii="Aptos" w:hAnsi="Aptos" w:eastAsia="Aptos" w:cs="Noto Sans Arabic"/>
                <w:b/>
                <w:i w:val="0"/>
                <w:color w:val="2E7D32"/>
                <w:sz w:val="20"/>
              </w:rPr>
              <w:t>Decision</w:t>
            </w:r>
          </w:p>
          <w:p>
            <w:pPr>
              <w:spacing w:after="0"/>
            </w:pPr>
            <w:r>
              <w:rPr>
                <w:rFonts w:ascii="Aptos" w:hAnsi="Aptos" w:eastAsia="Aptos" w:cs="Noto Sans Arabic"/>
                <w:b w:val="0"/>
                <w:i w:val="0"/>
                <w:sz w:val="18"/>
              </w:rPr>
              <w:t>Store this corpus under Worldview → Islamic Studies → General / Intellectual History. Keep Qur’an-specific analysis inside km_quran, but link worldview nodes, claims, events, and source evidence back to Qur’anic scopes only when a source is directly used to explain a surah, ayah, or passage.</w:t>
            </w:r>
          </w:p>
        </w:tc>
      </w:tr>
    </w:tbl>
    <w:p/>
    <w:p>
      <w:pPr>
        <w:pStyle w:val="ListBullet"/>
        <w:spacing w:after="40"/>
      </w:pPr>
      <w:r>
        <w:rPr>
          <w:rFonts w:ascii="Aptos" w:hAnsi="Aptos" w:eastAsia="Aptos" w:cs="Noto Sans Arabic"/>
          <w:b w:val="0"/>
          <w:i w:val="0"/>
          <w:sz w:val="19"/>
        </w:rPr>
        <w:t>Raw sources such as Sīrah, Maghāzī, Ṭabaqāt, early tafsīr as intellectual history, zuhd, Ghazālī, Ibn Khaldūn, and modern academic reconstructions belong in wv_sources, wv_source_units, and wv_source_chunks.</w:t>
      </w:r>
    </w:p>
    <w:p>
      <w:pPr>
        <w:pStyle w:val="ListBullet"/>
        <w:spacing w:after="40"/>
      </w:pPr>
      <w:r>
        <w:rPr>
          <w:rFonts w:ascii="Aptos" w:hAnsi="Aptos" w:eastAsia="Aptos" w:cs="Noto Sans Arabic"/>
          <w:b w:val="0"/>
          <w:i w:val="0"/>
          <w:sz w:val="19"/>
        </w:rPr>
        <w:t>People, schools, periods, events, movements, institutions, claims, and moral/civilizational patterns belong in the worldview graph tables.</w:t>
      </w:r>
    </w:p>
    <w:p>
      <w:pPr>
        <w:pStyle w:val="ListBullet"/>
        <w:spacing w:after="40"/>
      </w:pPr>
      <w:r>
        <w:rPr>
          <w:rFonts w:ascii="Aptos" w:hAnsi="Aptos" w:eastAsia="Aptos" w:cs="Noto Sans Arabic"/>
          <w:b w:val="0"/>
          <w:i w:val="0"/>
          <w:sz w:val="19"/>
        </w:rPr>
        <w:t>Only source statements that directly interpret a Qur’anic passage should create links to km_quran through qr_scope_ref fields or wv_node_quran_links.</w:t>
      </w:r>
    </w:p>
    <w:p>
      <w:pPr>
        <w:pStyle w:val="ListBullet"/>
        <w:spacing w:after="40"/>
      </w:pPr>
      <w:r>
        <w:rPr>
          <w:rFonts w:ascii="Aptos" w:hAnsi="Aptos" w:eastAsia="Aptos" w:cs="Noto Sans Arabic"/>
          <w:b w:val="0"/>
          <w:i w:val="0"/>
          <w:sz w:val="19"/>
        </w:rPr>
        <w:t>This prevents later Islamic thought, community memory, and academic reconstruction from being confused with canonical Qur’an analysis.</w:t>
      </w:r>
    </w:p>
    <w:p>
      <w:pPr>
        <w:pStyle w:val="Heading1"/>
      </w:pPr>
      <w:r>
        <w:t>2. Updated Architecture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015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/>
                <w:i w:val="0"/>
                <w:sz w:val="16"/>
              </w:rPr>
              <w:t>Layer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/>
                <w:i w:val="0"/>
                <w:sz w:val="16"/>
              </w:rPr>
              <w:t>Primary module</w:t>
            </w:r>
          </w:p>
        </w:tc>
        <w:tc>
          <w:tcPr>
            <w:tcW w:type="dxa" w:w="475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/>
                <w:i w:val="0"/>
                <w:sz w:val="16"/>
              </w:rPr>
              <w:t>What it stores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/>
                <w:i w:val="0"/>
                <w:sz w:val="16"/>
              </w:rPr>
              <w:t>Link back to Qur’an?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Qur’an text, words, morphology, tafsīr-by-passage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km_quran / km_arabic_linguistics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Canonical Qur’an spine, ayah/word scopes, morphology, iʿrāb, tafsīr attached to passages.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Native storage, not a link.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Islamic Studies General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km_worldview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Early community history, worldview themes, intellectual evolution, thought schools, people, events, source chunks.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Optional, only through qr_scope_ref / node_quran_links.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Source library and extracts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km_worldview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Books, chapters, chunks, excerpts, citations, evidence items.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Evidence may cite a Qur’anic scope if relevant.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Graph / visual map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km_worldview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Nodes and edges: concepts, people, movements, moral patterns, debates, transitions.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Nodes may illustrate or derive from Qur’anic passages.</w:t>
            </w:r>
          </w:p>
        </w:tc>
      </w:tr>
      <w:tr>
        <w:tc>
          <w:tcPr>
            <w:tcW w:type="dxa" w:w="2015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User notes / review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km_worldview + content module refs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Research notes, decisions, generated summaries, source review status.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May link to either worldview or Qur’an scopes.</w:t>
            </w:r>
          </w:p>
        </w:tc>
      </w:tr>
    </w:tbl>
    <w:p/>
    <w:p>
      <w:pPr>
        <w:pStyle w:val="Heading1"/>
      </w:pPr>
      <w:r>
        <w:t>3. Use Your Existing km_worldview Schema</w:t>
      </w:r>
    </w:p>
    <w:p>
      <w:r>
        <w:rPr>
          <w:rFonts w:ascii="Aptos" w:hAnsi="Aptos" w:eastAsia="Aptos" w:cs="Noto Sans Arabic"/>
          <w:b w:val="0"/>
          <w:i w:val="0"/>
          <w:sz w:val="19"/>
        </w:rPr>
        <w:t>The uploaded schema already contains the right tables for this. The main tables to use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23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/>
                <w:i w:val="0"/>
                <w:sz w:val="16"/>
              </w:rPr>
              <w:t>Purpose</w:t>
            </w:r>
          </w:p>
        </w:tc>
        <w:tc>
          <w:tcPr>
            <w:tcW w:type="dxa" w:w="2951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/>
                <w:i w:val="0"/>
                <w:sz w:val="16"/>
              </w:rPr>
              <w:t>Existing table(s)</w:t>
            </w:r>
          </w:p>
        </w:tc>
        <w:tc>
          <w:tcPr>
            <w:tcW w:type="dxa" w:w="633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/>
                <w:i w:val="0"/>
                <w:sz w:val="16"/>
              </w:rPr>
              <w:t>Usage for Islamic Studies General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Book/source registry</w:t>
            </w:r>
          </w:p>
        </w:tc>
        <w:tc>
          <w:tcPr>
            <w:tcW w:type="dxa" w:w="2951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wv_sources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One row per book/work/source. Use source_domain = islamic_studies_general.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Book structure</w:t>
            </w:r>
          </w:p>
        </w:tc>
        <w:tc>
          <w:tcPr>
            <w:tcW w:type="dxa" w:w="2951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wv_source_units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Volumes, chapters, sections, translated introductions, named documents such as Ṣaḥīfat al-Madīnah.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Ingested text chunks</w:t>
            </w:r>
          </w:p>
        </w:tc>
        <w:tc>
          <w:tcPr>
            <w:tcW w:type="dxa" w:w="2951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wv_source_chunks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Chunked text from OpenITI/Shamela/PDF/OCR/modern books. Embedding status and qdrant_id live here.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Traditions/domains</w:t>
            </w:r>
          </w:p>
        </w:tc>
        <w:tc>
          <w:tcPr>
            <w:tcW w:type="dxa" w:w="2951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wv_domains, wv_traditions, wv_tradition_branches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Domain = Islamic Studies; tradition = Islam; branches if needed later.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People/authors</w:t>
            </w:r>
          </w:p>
        </w:tc>
        <w:tc>
          <w:tcPr>
            <w:tcW w:type="dxa" w:w="2951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wv_people, wv_people_aliases, wv_source_people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Prophet, Companions, early historians, exegetes, theologians, Ghazālī, Ibn Khaldūn, modern scholars.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Periods and evolution</w:t>
            </w:r>
          </w:p>
        </w:tc>
        <w:tc>
          <w:tcPr>
            <w:tcW w:type="dxa" w:w="2951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wv_periods, wv_century_profiles, wv_transition_sequences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Early Meccan, Medinan, Rashidun, Umayyad, Abbasid, classical synthesis, post-classical.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Community events</w:t>
            </w:r>
          </w:p>
        </w:tc>
        <w:tc>
          <w:tcPr>
            <w:tcW w:type="dxa" w:w="2951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wv_events, wv_timeline_events, wv_event_participants, wv_event_locations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Hijrah, Constitution of Medina, Badr, early fitan, expansion, institutional formation.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Claims and evidence</w:t>
            </w:r>
          </w:p>
        </w:tc>
        <w:tc>
          <w:tcPr>
            <w:tcW w:type="dxa" w:w="2951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wv_claims, wv_evidence_items, wv_claim_evidence_links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What a source says about community priorities, morality, authority, knowledge, power, charity, etc.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Graph concepts</w:t>
            </w:r>
          </w:p>
        </w:tc>
        <w:tc>
          <w:tcPr>
            <w:tcW w:type="dxa" w:w="2951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wv_nodes, wv_node_edges, wv_graph_views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Concept graph for tawḥīd, ākhirah, ummah, nubuwwah, jahiliyyah, zuhd, ʿasabiyyah, etc.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Qur’an bridge only</w:t>
            </w:r>
          </w:p>
        </w:tc>
        <w:tc>
          <w:tcPr>
            <w:tcW w:type="dxa" w:w="2951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wv_node_quran_links, wv_evidence_items.qr_scope_ref, wv_corpus_units.qr_scope_ref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Do not duplicate Qur’an data; link worldview insights to exact Qur’an scopes.</w:t>
            </w:r>
          </w:p>
        </w:tc>
      </w:tr>
    </w:tbl>
    <w:p/>
    <w:p>
      <w:pPr>
        <w:pStyle w:val="Heading1"/>
      </w:pPr>
      <w:r>
        <w:t>4. Recommended Domain and Slug Conventions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wv_domains.slug:       islamic-studies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wv_domains.title:      Islamic Studies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wv_traditions.slug:    islam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wv_sources.source_domain: islamic_studies_general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wv_topics.topic_domain:   islamic_studies_general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wv_periods.slug examples: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early-meccan-revelation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medinan-community-formation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rashidun-political-community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umayyad-imperial-transition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abbasid-knowledge-institutionalization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classical-sunni-synthesis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post-classical-civilizational-reflection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FF6E5"/>
          </w:tcPr>
          <w:p>
            <w:pPr>
              <w:spacing w:after="60"/>
            </w:pPr>
            <w:r>
              <w:rPr>
                <w:rFonts w:ascii="Aptos" w:hAnsi="Aptos" w:eastAsia="Aptos" w:cs="Noto Sans Arabic"/>
                <w:b/>
                <w:i w:val="0"/>
                <w:color w:val="9A5B00"/>
                <w:sz w:val="20"/>
              </w:rPr>
              <w:t>Naming rule</w:t>
            </w:r>
          </w:p>
          <w:p>
            <w:pPr>
              <w:spacing w:after="0"/>
            </w:pPr>
            <w:r>
              <w:rPr>
                <w:rFonts w:ascii="Aptos" w:hAnsi="Aptos" w:eastAsia="Aptos" w:cs="Noto Sans Arabic"/>
                <w:b w:val="0"/>
                <w:i w:val="0"/>
                <w:sz w:val="18"/>
              </w:rPr>
              <w:t>Use neutral, durable slugs. Do not encode one scholar’s interpretation in table names. Interpretations belong in claims, notes, evidence, and graph edges.</w:t>
            </w:r>
          </w:p>
        </w:tc>
      </w:tr>
    </w:tbl>
    <w:p/>
    <w:p>
      <w:pPr>
        <w:pStyle w:val="Heading1"/>
      </w:pPr>
      <w:r>
        <w:t>5. Source Ladder for Islamic Studies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/>
                <w:i w:val="0"/>
                <w:sz w:val="16"/>
              </w:rPr>
              <w:t>Layer</w:t>
            </w:r>
          </w:p>
        </w:tc>
        <w:tc>
          <w:tcPr>
            <w:tcW w:type="dxa" w:w="288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/>
                <w:i w:val="0"/>
                <w:sz w:val="16"/>
              </w:rPr>
              <w:t>Source family</w:t>
            </w:r>
          </w:p>
        </w:tc>
        <w:tc>
          <w:tcPr>
            <w:tcW w:type="dxa" w:w="4536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/>
                <w:i w:val="0"/>
                <w:sz w:val="16"/>
              </w:rPr>
              <w:t>Main value</w:t>
            </w:r>
          </w:p>
        </w:tc>
        <w:tc>
          <w:tcPr>
            <w:tcW w:type="dxa" w:w="324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/>
                <w:i w:val="0"/>
                <w:sz w:val="16"/>
              </w:rPr>
              <w:t>Worldview usage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Qur’an as worldview spine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Primary revelation layer for early moral, theological, and social priorities.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Do not duplicate in worldview; use quran links and corpus refs.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Ṣaḥīfat al-Madīnah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Early community/covenant memory: ummah, mutual defence, authority, inter-group relations.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wv_source_units + wv_events + wv_claims.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Ibn Isḥāq / Ibn Hishām, Sīrah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Community memory of mission, opposition, hijrah, identity formation.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wv_sources/chunks; extract events and moral/social claims.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al-Wāqidī, Maghāzī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Campaign and community reports; useful with reliability caution.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wv_sources; tag with source-critical warning.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Ibn Saʿd, Ṭabaqāt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Social map of early generations, Companions, women, transmitters, roles.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wv_people + events + source chunks.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al-Ṭabarī, Tārīkh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Variant reports for early political and community history.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wv_events + claim/evidence; preserve report variants.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L3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al-Balādhurī, Ansāb/Futūḥ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Tribal, political, administrative, and expansion memory.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wv_events, institutions, regions, expansion maps.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L4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Muqātil, Mujāhid, ʿAbd al-Razzāq, Ṭabarī tafsīr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Early interpretation and community semantic memory.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wv_sources for intellectual history; km_quran links only when studying a passage.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Ibn al-Mubārak, Aḥmad b. Ḥanbal, Ibn Abī al-Dunyā zuhd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Early moral psychology: dunya, sincerity, death, repentance, humility.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wv_moral_axes, virtues, vices, claims/evidence.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L5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Mālik, Muwaṭṭaʾ; Abū ʿUbayd, Amwāl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Early practice, public wealth, social order, and community norms without later fiqh overload.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wv_norm_sources, practices, law_morality_links.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L6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al-Ashʿarī Maqālāt; sect/heresiography sources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Thought formation: qadar, īmān, authority, sectarian self-definition.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wv_schools + debate clusters + claims.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Ghazālī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Mature synthesis of knowledge, ethics, inner reform, theology, philosophy, spirituality.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Later synthesis layer: people, sources, claims, moral psychology.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L7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Ibn Khaldūn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Civilizational analysis: ʿaṣabiyyah, state, knowledge, history method, social rise/decline.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wv_civilizational_* + transitions + claims.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L8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Modern academic studies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Contextual reconstruction: late antiquity, external witnesses, chronology, community formation.</w:t>
            </w:r>
          </w:p>
        </w:tc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4"/>
              </w:rPr>
              <w:t>source_type=modern_study; separate from classical sources.</w:t>
            </w:r>
          </w:p>
        </w:tc>
      </w:tr>
    </w:tbl>
    <w:p/>
    <w:p>
      <w:pPr>
        <w:pStyle w:val="Heading1"/>
      </w:pPr>
      <w:r>
        <w:t>6. Historical Distance and Reliability Tags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DECEC"/>
          </w:tcPr>
          <w:p>
            <w:pPr>
              <w:spacing w:after="60"/>
            </w:pPr>
            <w:r>
              <w:rPr>
                <w:rFonts w:ascii="Aptos" w:hAnsi="Aptos" w:eastAsia="Aptos" w:cs="Noto Sans Arabic"/>
                <w:b/>
                <w:i w:val="0"/>
                <w:color w:val="B71C1C"/>
                <w:sz w:val="20"/>
              </w:rPr>
              <w:t>Important</w:t>
            </w:r>
          </w:p>
          <w:p>
            <w:pPr>
              <w:spacing w:after="0"/>
            </w:pPr>
            <w:r>
              <w:rPr>
                <w:rFonts w:ascii="Aptos" w:hAnsi="Aptos" w:eastAsia="Aptos" w:cs="Noto Sans Arabic"/>
                <w:b w:val="0"/>
                <w:i w:val="0"/>
                <w:sz w:val="18"/>
              </w:rPr>
              <w:t>Worldview does not mean “everything has equal authority.” Every extracted claim should carry source layer, historical distance, genre, and confidence in meta_json.</w:t>
            </w:r>
          </w:p>
        </w:tc>
      </w:tr>
    </w:tbl>
    <w:p/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meta_json example for wv_sources / wv_claims / wv_evidence_items: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{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"source_layer": "early_community_memory",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"genre": "sirah_maghaazi_tabaqat_zuhd_tafsir_history_modern_study",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"historical_distance": "revelation_period | early_transmitted | later_compilation | modern_reconstruction",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"authority_use": "primary_quranic | community_memory | intellectual_history | later_synthesis | academic_context",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"reliability_note": "requires cross-check; not direct evidence by itself",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"review_status": "raw | structured | reviewed | approved"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}</w:t>
      </w:r>
    </w:p>
    <w:p>
      <w:pPr>
        <w:pStyle w:val="Heading1"/>
      </w:pPr>
      <w:r>
        <w:t>7. What Goes Where: Entity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/>
                <w:i w:val="0"/>
                <w:sz w:val="16"/>
              </w:rPr>
              <w:t>Data item</w:t>
            </w:r>
          </w:p>
        </w:tc>
        <w:tc>
          <w:tcPr>
            <w:tcW w:type="dxa" w:w="31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/>
                <w:i w:val="0"/>
                <w:sz w:val="16"/>
              </w:rPr>
              <w:t>Worldview table</w:t>
            </w:r>
          </w:p>
        </w:tc>
        <w:tc>
          <w:tcPr>
            <w:tcW w:type="dxa" w:w="612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/>
                <w:i w:val="0"/>
                <w:sz w:val="16"/>
              </w:rPr>
              <w:t>Example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A book/work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wv_sources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Iḥyāʾ ʿUlūm al-Dīn; Sīrat Ibn Hishām; Kitāb al-Zuhd.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A chapter/volume/section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wv_source_units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Volume 1; Bāb al-Ikhlāṣ; Medina Covenant section.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A text chunk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wv_source_chunks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1,000–1,800 Arabic tokens with heading_norm and page_no.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An author/scholar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wv_people + wv_source_people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al-Ghazālī as author; Ibn Khaldūn as author.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A concept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wv_nodes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ummah, ākhirah, jahiliyyah, zuhd, ʿasabiyyah, fitnah.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A relation between concepts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wv_node_edges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ākhirah motivates social justice; ʿasabiyyah supports state formation.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A claim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wv_claims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Early Meccan preaching foregrounds accountability and moral reversal.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Evidence for claim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wv_evidence_items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Excerpt from Qur’an, Sīrah, tafsīr, zuhd, or modern study.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Historical event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wv_events / wv_timeline_events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Hijrah; Constitution of Medina; Badr; first fitnah.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A Qur’an link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wv_node_quran_links or evidence_items.qr_scope_ref</w:t>
            </w:r>
          </w:p>
        </w:tc>
        <w:tc>
          <w:tcPr>
            <w:tcW w:type="dxa" w:w="6120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Node “ākhirah accountability” links to qr:surah:78:1-5.</w:t>
            </w:r>
          </w:p>
        </w:tc>
      </w:tr>
    </w:tbl>
    <w:p/>
    <w:p>
      <w:pPr>
        <w:pStyle w:val="Heading1"/>
      </w:pPr>
      <w:r>
        <w:t>8. Ingestion Workflow</w:t>
      </w:r>
    </w:p>
    <w:p>
      <w:pPr>
        <w:pStyle w:val="ListNumber"/>
        <w:spacing w:after="40"/>
      </w:pPr>
      <w:r>
        <w:rPr>
          <w:rFonts w:ascii="Aptos" w:hAnsi="Aptos" w:eastAsia="Aptos" w:cs="Noto Sans Arabic"/>
          <w:b w:val="0"/>
          <w:i w:val="0"/>
          <w:sz w:val="19"/>
        </w:rPr>
        <w:t>Seed domain/tradition rows: Islamic Studies, Islam, branches if needed later.</w:t>
      </w:r>
    </w:p>
    <w:p>
      <w:pPr>
        <w:pStyle w:val="ListNumber"/>
        <w:spacing w:after="40"/>
      </w:pPr>
      <w:r>
        <w:rPr>
          <w:rFonts w:ascii="Aptos" w:hAnsi="Aptos" w:eastAsia="Aptos" w:cs="Noto Sans Arabic"/>
          <w:b w:val="0"/>
          <w:i w:val="0"/>
          <w:sz w:val="19"/>
        </w:rPr>
        <w:t>Seed period ladder: early Meccan, Medinan, Rashidun, Umayyad, Abbasid, classical synthesis, post-classical reflection, modern academic reconstruction.</w:t>
      </w:r>
    </w:p>
    <w:p>
      <w:pPr>
        <w:pStyle w:val="ListNumber"/>
        <w:spacing w:after="40"/>
      </w:pPr>
      <w:r>
        <w:rPr>
          <w:rFonts w:ascii="Aptos" w:hAnsi="Aptos" w:eastAsia="Aptos" w:cs="Noto Sans Arabic"/>
          <w:b w:val="0"/>
          <w:i w:val="0"/>
          <w:sz w:val="19"/>
        </w:rPr>
        <w:t>Register people and source books in wv_people, wv_sources, and wv_source_people.</w:t>
      </w:r>
    </w:p>
    <w:p>
      <w:pPr>
        <w:pStyle w:val="ListNumber"/>
        <w:spacing w:after="40"/>
      </w:pPr>
      <w:r>
        <w:rPr>
          <w:rFonts w:ascii="Aptos" w:hAnsi="Aptos" w:eastAsia="Aptos" w:cs="Noto Sans Arabic"/>
          <w:b w:val="0"/>
          <w:i w:val="0"/>
          <w:sz w:val="19"/>
        </w:rPr>
        <w:t>Ingest each work into wv_source_units and wv_source_chunks. Keep raw source lineage in meta_json.</w:t>
      </w:r>
    </w:p>
    <w:p>
      <w:pPr>
        <w:pStyle w:val="ListNumber"/>
        <w:spacing w:after="40"/>
      </w:pPr>
      <w:r>
        <w:rPr>
          <w:rFonts w:ascii="Aptos" w:hAnsi="Aptos" w:eastAsia="Aptos" w:cs="Noto Sans Arabic"/>
          <w:b w:val="0"/>
          <w:i w:val="0"/>
          <w:sz w:val="19"/>
        </w:rPr>
        <w:t>Run extraction prompts per chunk to produce candidate claims, events, concepts, people references, and topic links.</w:t>
      </w:r>
    </w:p>
    <w:p>
      <w:pPr>
        <w:pStyle w:val="ListNumber"/>
        <w:spacing w:after="40"/>
      </w:pPr>
      <w:r>
        <w:rPr>
          <w:rFonts w:ascii="Aptos" w:hAnsi="Aptos" w:eastAsia="Aptos" w:cs="Noto Sans Arabic"/>
          <w:b w:val="0"/>
          <w:i w:val="0"/>
          <w:sz w:val="19"/>
        </w:rPr>
        <w:t>Store candidate claims in wv_claims with status=draft/active and evidence in wv_evidence_items.</w:t>
      </w:r>
    </w:p>
    <w:p>
      <w:pPr>
        <w:pStyle w:val="ListNumber"/>
        <w:spacing w:after="40"/>
      </w:pPr>
      <w:r>
        <w:rPr>
          <w:rFonts w:ascii="Aptos" w:hAnsi="Aptos" w:eastAsia="Aptos" w:cs="Noto Sans Arabic"/>
          <w:b w:val="0"/>
          <w:i w:val="0"/>
          <w:sz w:val="19"/>
        </w:rPr>
        <w:t>Create graph nodes and edges only after review, so the concept map stays clean.</w:t>
      </w:r>
    </w:p>
    <w:p>
      <w:pPr>
        <w:pStyle w:val="ListNumber"/>
        <w:spacing w:after="40"/>
      </w:pPr>
      <w:r>
        <w:rPr>
          <w:rFonts w:ascii="Aptos" w:hAnsi="Aptos" w:eastAsia="Aptos" w:cs="Noto Sans Arabic"/>
          <w:b w:val="0"/>
          <w:i w:val="0"/>
          <w:sz w:val="19"/>
        </w:rPr>
        <w:t>Create Qur’an links only when a source directly explains or illustrates a specific surah/passage. Use qr_scope_ref rather than duplicating Qur’an data.</w:t>
      </w:r>
    </w:p>
    <w:p>
      <w:pPr>
        <w:pStyle w:val="ListNumber"/>
        <w:spacing w:after="40"/>
      </w:pPr>
      <w:r>
        <w:rPr>
          <w:rFonts w:ascii="Aptos" w:hAnsi="Aptos" w:eastAsia="Aptos" w:cs="Noto Sans Arabic"/>
          <w:b w:val="0"/>
          <w:i w:val="0"/>
          <w:sz w:val="19"/>
        </w:rPr>
        <w:t>Review in UI: source chunk → extracted claim → evidence → graph node → optional Qur’an link.</w:t>
      </w:r>
    </w:p>
    <w:p>
      <w:pPr>
        <w:pStyle w:val="Heading1"/>
      </w:pPr>
      <w:r>
        <w:t>9. Minimal SQL Inserts / Shape</w:t>
      </w:r>
    </w:p>
    <w:p>
      <w:r>
        <w:rPr>
          <w:rFonts w:ascii="Aptos" w:hAnsi="Aptos" w:eastAsia="Aptos" w:cs="Noto Sans Arabic"/>
          <w:b w:val="0"/>
          <w:i w:val="0"/>
          <w:sz w:val="19"/>
        </w:rPr>
        <w:t>Use this shape as a starting point, adapting IDs to your own UUID/slug conventions: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-- Domain and tradition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INSERT INTO wv_domains (id, slug, title, title_ar, description, sort_order)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VALUES ('dom_islamic_studies', 'islamic-studies', 'Islamic Studies', 'الدراسات الإسلامية',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      'General Islamic studies, intellectual history, community formation, and civilizational thought.', 10);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INSERT INTO wv_traditions (id, slug, title, title_ar, tradition_type, domain_id, founded_period, geographic_origin)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VALUES ('trad_islam', 'islam', 'Islam', 'الإسلام', 'religion', 'dom_islamic_studies',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      '7th century CE', 'Arabia / Hijaz');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-- Source registry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INSERT INTO wv_sources (id, slug, title, title_ar, source_type, source_domain, tradition_id, language, description_md, meta_json)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VALUES ('src_ibn_hisham_sirah', 'ibn-hisham-sirah', 'Sīrat Ibn Hishām', 'السيرة النبوية لابن هشام',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      'book', 'islamic_studies_general', 'trad_islam', 'ar',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      'Early sīrah/community memory source used for worldview and early community formation.',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      '{"source_layer":"early_community_memory","review_status":"raw"}');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-- Chunk evidence with optional Qur’an link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INSERT INTO wv_evidence_items (id, title, evidence_type, source_id, source_unit_id, locator, excerpt, qr_scope_ref, meta_json)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VALUES ('ev_example_001', 'Sīrah report on early opposition', 'historical_report',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      'src_ibn_hisham_sirah', 'unit_example', 'vol.1 / chapter example',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      'Arabic excerpt here...', 'qr:surah:96:1-5',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 xml:space="preserve">        '{"historical_distance":"later_compilation_of_early_reports","review_status":"needs_review"}');</w:t>
      </w:r>
    </w:p>
    <w:p>
      <w:pPr>
        <w:pStyle w:val="Heading1"/>
      </w:pPr>
      <w:r>
        <w:t>10. Pilot: Early Surah + Worldview Evolution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EF5FF"/>
          </w:tcPr>
          <w:p>
            <w:pPr>
              <w:spacing w:after="60"/>
            </w:pPr>
            <w:r>
              <w:rPr>
                <w:rFonts w:ascii="Aptos" w:hAnsi="Aptos" w:eastAsia="Aptos" w:cs="Noto Sans Arabic"/>
                <w:b/>
                <w:i w:val="0"/>
                <w:color w:val="1F4E79"/>
                <w:sz w:val="20"/>
              </w:rPr>
              <w:t>Pilot principle</w:t>
            </w:r>
          </w:p>
          <w:p>
            <w:pPr>
              <w:spacing w:after="0"/>
            </w:pPr>
            <w:r>
              <w:rPr>
                <w:rFonts w:ascii="Aptos" w:hAnsi="Aptos" w:eastAsia="Aptos" w:cs="Noto Sans Arabic"/>
                <w:b w:val="0"/>
                <w:i w:val="0"/>
                <w:sz w:val="18"/>
              </w:rPr>
              <w:t>Start with one Qur’anic cluster, then attach community memory and later thought only as worldview lenses. Do not let later sources overwrite the Qur’an layer.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/>
                <w:i w:val="0"/>
                <w:sz w:val="16"/>
              </w:rPr>
              <w:t>Pilot object</w:t>
            </w:r>
          </w:p>
        </w:tc>
        <w:tc>
          <w:tcPr>
            <w:tcW w:type="dxa" w:w="482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/>
                <w:i w:val="0"/>
                <w:sz w:val="16"/>
              </w:rPr>
              <w:t>What to extract</w:t>
            </w:r>
          </w:p>
        </w:tc>
        <w:tc>
          <w:tcPr>
            <w:tcW w:type="dxa" w:w="41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/>
                <w:i w:val="0"/>
                <w:sz w:val="16"/>
              </w:rPr>
              <w:t>Worldview table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Surah 78 / al-Nabaʾ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Accountability, great news, dispute, resurrection horizon.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wv_nodes + wv_node_quran_links.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Early tafsīr on النبأ العظيم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Early meaning candidates and semantic memory.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wv_sources/chunks + wv_claims/evidence.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Sīrah / Meccan opposition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Social environment of denial, elite resistance, moral conflict.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wv_events + claims.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Zuhd layer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Ākhirah and dunya critique as moral psychology.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wv_moral_axes + virtue/vice profiles.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Ghazālī layer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Inner reform and knowledge classification as mature synthesis.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wv_claims + nodes + people/source links.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Ibn Khaldūn layer</w:t>
            </w:r>
          </w:p>
        </w:tc>
        <w:tc>
          <w:tcPr>
            <w:tcW w:type="dxa" w:w="482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Civilizational reading: authority, cohesion, rise/decline.</w:t>
            </w:r>
          </w:p>
        </w:tc>
        <w:tc>
          <w:tcPr>
            <w:tcW w:type="dxa" w:w="4104"/>
            <w:vAlign w:val="top"/>
          </w:tcPr>
          <w:p>
            <w:pPr>
              <w:spacing w:after="0"/>
            </w:pPr>
            <w:r/>
            <w:r>
              <w:rPr>
                <w:rFonts w:ascii="Aptos" w:hAnsi="Aptos" w:eastAsia="Aptos" w:cs="Noto Sans Arabic"/>
                <w:b w:val="0"/>
                <w:i w:val="0"/>
                <w:sz w:val="15"/>
              </w:rPr>
              <w:t>wv_civilizational_* + transition sequences.</w:t>
            </w:r>
          </w:p>
        </w:tc>
      </w:tr>
    </w:tbl>
    <w:p/>
    <w:p>
      <w:pPr>
        <w:pStyle w:val="Heading1"/>
      </w:pPr>
      <w:r>
        <w:t>11. Prompt Pattern for AI Extraction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You are extracting from an Islamic Studies General source for km_worldview, not for km_quran canonical tafsir.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Return JSON with: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- source_id, source_unit_id, chunk_id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- source_layer: early_community_memory | early_tafsir_memory | early_ethics | later_synthesis | modern_reconstruction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- claims[]: title, claim_text, claim_type, certainty_level, topic_key, evidence_excerpt, locator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- concepts[]: title, node_type, summary, candidate_edges[]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- events[]: title, year_start/year_end if known, is_approximate, moral_significance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- people[]: names and roles mentioned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- quran_links[] ONLY if a specific surah/ayah/passage is directly relevant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- review_flags[] for uncertainty, bias, variant reports, anachronism risk</w:t>
      </w:r>
    </w:p>
    <w:p>
      <w:pPr>
        <w:pStyle w:val="CodeBlock"/>
        <w:spacing w:after="20"/>
      </w:pPr>
      <w:r>
        <w:rPr>
          <w:rFonts w:ascii="Consolas" w:hAnsi="Consolas" w:eastAsia="Consolas"/>
          <w:sz w:val="15"/>
        </w:rPr>
        <w:t>Do not convert later synthesis into earliest evidence. Label historical distance explicitly.</w:t>
      </w:r>
    </w:p>
    <w:p>
      <w:pPr>
        <w:pStyle w:val="Heading1"/>
      </w:pPr>
      <w:r>
        <w:t>12. Final Rule for k-maps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4EA"/>
          </w:tcPr>
          <w:p>
            <w:pPr>
              <w:spacing w:after="60"/>
            </w:pPr>
            <w:r>
              <w:rPr>
                <w:rFonts w:ascii="Aptos" w:hAnsi="Aptos" w:eastAsia="Aptos" w:cs="Noto Sans Arabic"/>
                <w:b/>
                <w:i w:val="0"/>
                <w:color w:val="2E7D32"/>
                <w:sz w:val="20"/>
              </w:rPr>
              <w:t>Canonical separation</w:t>
            </w:r>
          </w:p>
          <w:p>
            <w:pPr>
              <w:spacing w:after="0"/>
            </w:pPr>
            <w:r>
              <w:rPr>
                <w:rFonts w:ascii="Aptos" w:hAnsi="Aptos" w:eastAsia="Aptos" w:cs="Noto Sans Arabic"/>
                <w:b w:val="0"/>
                <w:i w:val="0"/>
                <w:sz w:val="18"/>
              </w:rPr>
              <w:t>km_quran answers: “What does this Qur’anic passage say and how is it analysed?” km_worldview answers: “How did Muslim thought, community memory, ethics, institutions, and civilizational reflection evolve around these ideas?”</w:t>
            </w:r>
          </w:p>
        </w:tc>
      </w:tr>
    </w:tbl>
    <w:p/>
    <w:p>
      <w:pPr>
        <w:pStyle w:val="ListBullet"/>
        <w:spacing w:after="40"/>
      </w:pPr>
      <w:r>
        <w:rPr>
          <w:rFonts w:ascii="Aptos" w:hAnsi="Aptos" w:eastAsia="Aptos" w:cs="Noto Sans Arabic"/>
          <w:b w:val="0"/>
          <w:i w:val="0"/>
          <w:sz w:val="19"/>
        </w:rPr>
        <w:t>Store general Islamic Studies sources in km_worldview.</w:t>
      </w:r>
    </w:p>
    <w:p>
      <w:pPr>
        <w:pStyle w:val="ListBullet"/>
        <w:spacing w:after="40"/>
      </w:pPr>
      <w:r>
        <w:rPr>
          <w:rFonts w:ascii="Aptos" w:hAnsi="Aptos" w:eastAsia="Aptos" w:cs="Noto Sans Arabic"/>
          <w:b w:val="0"/>
          <w:i w:val="0"/>
          <w:sz w:val="19"/>
        </w:rPr>
        <w:t>Use km_quran only for Qur’an-passage-native tafsīr, morphology, iʿrāb, structure, claims/evidence directly anchored to surah/ayah scopes.</w:t>
      </w:r>
    </w:p>
    <w:p>
      <w:pPr>
        <w:pStyle w:val="ListBullet"/>
        <w:spacing w:after="40"/>
      </w:pPr>
      <w:r>
        <w:rPr>
          <w:rFonts w:ascii="Aptos" w:hAnsi="Aptos" w:eastAsia="Aptos" w:cs="Noto Sans Arabic"/>
          <w:b w:val="0"/>
          <w:i w:val="0"/>
          <w:sz w:val="19"/>
        </w:rPr>
        <w:t>Use links, not duplication, between worldview and Qur’an.</w:t>
      </w:r>
    </w:p>
    <w:p>
      <w:pPr>
        <w:pStyle w:val="ListBullet"/>
        <w:spacing w:after="40"/>
      </w:pPr>
      <w:r>
        <w:rPr>
          <w:rFonts w:ascii="Aptos" w:hAnsi="Aptos" w:eastAsia="Aptos" w:cs="Noto Sans Arabic"/>
          <w:b w:val="0"/>
          <w:i w:val="0"/>
          <w:sz w:val="19"/>
        </w:rPr>
        <w:t>Make every source layer explicit: earliest revelation, early community memory, later compilation, later synthesis, or modern reconstruction.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Prepared for k-maps • Worldview / Islamic Studies General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87878"/>
        <w:sz w:val="16"/>
      </w:rPr>
      <w:t>k-maps worldview | Islamic Studies General source 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 w:cs="Noto Sans Arab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cs="Noto Sans Arab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cs="Noto Sans Arabi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cs="Noto Sans Arabi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cs="Noto Sans Arabic"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20" w:after="20"/>
      <w:ind w:left="259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