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left"/>
      </w:pPr>
      <w:r>
        <w:rPr>
          <w:rFonts w:ascii="Arial" w:hAnsi="Arial"/>
          <w:b/>
          <w:color w:val="1F4E79"/>
          <w:sz w:val="30"/>
        </w:rPr>
        <w:t>K-Maps</w:t>
      </w:r>
    </w:p>
    <w:p>
      <w:pPr>
        <w:spacing w:before="400"/>
        <w:jc w:val="left"/>
      </w:pPr>
      <w:r>
        <w:rPr>
          <w:rFonts w:ascii="Arial" w:hAnsi="Arial"/>
          <w:b/>
          <w:color w:val="22303C"/>
          <w:sz w:val="48"/>
        </w:rPr>
        <w:t>KM-Arabic Target Database Map vNext</w:t>
      </w:r>
    </w:p>
    <w:p>
      <w:pPr>
        <w:spacing w:after="320"/>
        <w:jc w:val="left"/>
      </w:pPr>
      <w:r>
        <w:rPr>
          <w:rFonts w:ascii="Arial" w:hAnsi="Arial"/>
          <w:i/>
          <w:color w:val="0E7490"/>
          <w:sz w:val="25"/>
        </w:rPr>
        <w:t>Greenfield schema map for a complete Arabic language acquisition database spanning levels, tracks, literature, media, review, cohorts, and app-fed micro-learning</w:t>
      </w:r>
    </w:p>
    <w:tbl>
      <w:tblPr>
        <w:tblW w:type="auto" w:w="0"/>
        <w:jc w:val="center"/>
        <w:tblLayout w:type="autofit"/>
        <w:tblLook w:firstColumn="1" w:firstRow="1" w:lastColumn="0" w:lastRow="0" w:noHBand="0" w:noVBand="1" w:val="04A0"/>
      </w:tblPr>
      <w:tblGrid>
        <w:gridCol w:w="9792"/>
      </w:tblGrid>
      <w:tr>
        <w:tc>
          <w:tcPr>
            <w:tcW w:type="dxa" w:w="9792"/>
            <w:shd w:fill="EEF8F9"/>
            <w:tcMar>
              <w:top w:w="140" w:type="dxa"/>
              <w:start w:w="130" w:type="dxa"/>
              <w:bottom w:w="140" w:type="dxa"/>
              <w:end w:w="130" w:type="dxa"/>
            </w:tcMar>
          </w:tcPr>
          <w:p>
            <w:pPr>
              <w:jc w:val="left"/>
            </w:pPr>
            <w:r>
              <w:rPr>
                <w:rFonts w:ascii="Arial" w:hAnsi="Arial"/>
                <w:b/>
                <w:color w:val="22303C"/>
                <w:sz w:val="21"/>
              </w:rPr>
              <w:t>This data map is designed for a new km_arabic database that can hold the full material universe of Arabic acquisition - poetry, adab, literature, stories, drama scripts, songs, dialogues, lectures, and graded content - while feeding both deep-study surfaces and a Duolingo-style app.</w:t>
            </w:r>
          </w:p>
        </w:tc>
      </w:tr>
    </w:tbl>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10" w:type="dxa"/>
              <w:bottom w:w="90" w:type="dxa"/>
              <w:end w:w="110" w:type="dxa"/>
            </w:tcMar>
            <w:shd w:fill="0E7490"/>
            <w:shd w:fill="1F4E79"/>
          </w:tcPr>
          <w:p>
            <w:pPr>
              <w:spacing w:after="40" w:before="20" w:line="264" w:lineRule="auto"/>
              <w:jc w:val="left"/>
            </w:pPr>
            <w:r>
              <w:rPr>
                <w:rFonts w:ascii="Arial" w:hAnsi="Arial"/>
                <w:b/>
                <w:color w:val="FFFFFF"/>
                <w:sz w:val="19"/>
              </w:rPr>
              <w:t>Document</w:t>
            </w:r>
          </w:p>
        </w:tc>
        <w:tc>
          <w:tcPr>
            <w:tcW w:type="dxa" w:w="7056"/>
            <w:vAlign w:val="center"/>
            <w:tcMar>
              <w:top w:w="90" w:type="dxa"/>
              <w:start w:w="110" w:type="dxa"/>
              <w:bottom w:w="90" w:type="dxa"/>
              <w:end w:w="110" w:type="dxa"/>
            </w:tcMar>
            <w:shd w:fill="0E7490"/>
            <w:shd w:fill="F8FBFD"/>
          </w:tcPr>
          <w:p>
            <w:pPr>
              <w:spacing w:after="40" w:before="20" w:line="264" w:lineRule="auto"/>
              <w:jc w:val="center"/>
            </w:pPr>
            <w:r>
              <w:rPr>
                <w:rFonts w:ascii="Arial" w:hAnsi="Arial"/>
                <w:b/>
                <w:color w:val="FFFFFF"/>
                <w:sz w:val="19"/>
              </w:rPr>
              <w:t>KM-Arabic Target Database Map vNext</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Module</w:t>
            </w:r>
          </w:p>
        </w:tc>
        <w:tc>
          <w:tcPr>
            <w:tcW w:type="dxa" w:w="4896"/>
            <w:vAlign w:val="center"/>
            <w:tcMar>
              <w:top w:w="90" w:type="dxa"/>
              <w:start w:w="110" w:type="dxa"/>
              <w:bottom w:w="90" w:type="dxa"/>
              <w:end w:w="110" w:type="dxa"/>
            </w:tcMar>
          </w:tcPr>
          <w:p>
            <w:pPr>
              <w:spacing w:after="40" w:before="20" w:line="264" w:lineRule="auto"/>
            </w:pPr>
            <w:r>
              <w:rPr>
                <w:rFonts w:ascii="Arial" w:hAnsi="Arial"/>
                <w:sz w:val="19"/>
              </w:rPr>
              <w:t>km_arabic</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Design posture</w:t>
            </w:r>
          </w:p>
        </w:tc>
        <w:tc>
          <w:tcPr>
            <w:tcW w:type="dxa" w:w="4896"/>
            <w:vAlign w:val="center"/>
            <w:tcMar>
              <w:top w:w="90" w:type="dxa"/>
              <w:start w:w="110" w:type="dxa"/>
              <w:bottom w:w="90" w:type="dxa"/>
              <w:end w:w="110" w:type="dxa"/>
            </w:tcMar>
            <w:shd w:fill="F8FBFD"/>
          </w:tcPr>
          <w:p>
            <w:pPr>
              <w:spacing w:after="40" w:before="20" w:line="264" w:lineRule="auto"/>
            </w:pPr>
            <w:r>
              <w:rPr>
                <w:rFonts w:ascii="Arial" w:hAnsi="Arial"/>
                <w:sz w:val="19"/>
              </w:rPr>
              <w:t>Brand new canonical database; current schema used only as reference</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Primary goal</w:t>
            </w:r>
          </w:p>
        </w:tc>
        <w:tc>
          <w:tcPr>
            <w:tcW w:type="dxa" w:w="4896"/>
            <w:vAlign w:val="center"/>
            <w:tcMar>
              <w:top w:w="90" w:type="dxa"/>
              <w:start w:w="110" w:type="dxa"/>
              <w:bottom w:w="90" w:type="dxa"/>
              <w:end w:w="110" w:type="dxa"/>
            </w:tcMar>
          </w:tcPr>
          <w:p>
            <w:pPr>
              <w:spacing w:after="40" w:before="20" w:line="264" w:lineRule="auto"/>
            </w:pPr>
            <w:r>
              <w:rPr>
                <w:rFonts w:ascii="Arial" w:hAnsi="Arial"/>
                <w:sz w:val="19"/>
              </w:rPr>
              <w:t>Long-term schema map for language acquisition</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Audience</w:t>
            </w:r>
          </w:p>
        </w:tc>
        <w:tc>
          <w:tcPr>
            <w:tcW w:type="dxa" w:w="4896"/>
            <w:vAlign w:val="center"/>
            <w:tcMar>
              <w:top w:w="90" w:type="dxa"/>
              <w:start w:w="110" w:type="dxa"/>
              <w:bottom w:w="90" w:type="dxa"/>
              <w:end w:w="110" w:type="dxa"/>
            </w:tcMar>
            <w:shd w:fill="F8FBFD"/>
          </w:tcPr>
          <w:p>
            <w:pPr>
              <w:spacing w:after="40" w:before="20" w:line="264" w:lineRule="auto"/>
            </w:pPr>
            <w:r>
              <w:rPr>
                <w:rFonts w:ascii="Arial" w:hAnsi="Arial"/>
                <w:sz w:val="19"/>
              </w:rPr>
              <w:t>Architecture, backend, migration, and product design</w:t>
            </w:r>
          </w:p>
        </w:tc>
      </w:tr>
      <w:tr>
        <w:tc>
          <w:tcPr>
            <w:tcW w:type="dxa" w:w="4896"/>
            <w:vAlign w:val="center"/>
            <w:tcMar>
              <w:top w:w="90" w:type="dxa"/>
              <w:start w:w="110" w:type="dxa"/>
              <w:bottom w:w="90" w:type="dxa"/>
              <w:end w:w="110" w:type="dxa"/>
            </w:tcMar>
            <w:shd w:fill="1F4E79"/>
          </w:tcPr>
          <w:p>
            <w:pPr>
              <w:spacing w:after="40" w:before="20" w:line="264" w:lineRule="auto"/>
              <w:jc w:val="left"/>
            </w:pPr>
            <w:r>
              <w:rPr>
                <w:rFonts w:ascii="Arial" w:hAnsi="Arial"/>
                <w:b/>
                <w:color w:val="FFFFFF"/>
                <w:sz w:val="19"/>
              </w:rPr>
              <w:t>Boundary rule</w:t>
            </w:r>
          </w:p>
        </w:tc>
        <w:tc>
          <w:tcPr>
            <w:tcW w:type="dxa" w:w="4896"/>
            <w:vAlign w:val="center"/>
            <w:tcMar>
              <w:top w:w="90" w:type="dxa"/>
              <w:start w:w="110" w:type="dxa"/>
              <w:bottom w:w="90" w:type="dxa"/>
              <w:end w:w="110" w:type="dxa"/>
            </w:tcMar>
          </w:tcPr>
          <w:p>
            <w:pPr>
              <w:spacing w:after="40" w:before="20" w:line="264" w:lineRule="auto"/>
            </w:pPr>
            <w:r>
              <w:rPr>
                <w:rFonts w:ascii="Arial" w:hAnsi="Arial"/>
                <w:sz w:val="19"/>
              </w:rPr>
              <w:t>Acquisition truth in AR; universal linguistic truth in AL</w:t>
            </w:r>
          </w:p>
        </w:tc>
      </w:tr>
    </w:tbl>
    <w:p/>
    <w:p>
      <w:pPr>
        <w:pStyle w:val="Heading2"/>
      </w:pPr>
      <w:r>
        <w:t>Reference basis</w:t>
      </w:r>
    </w:p>
    <w:p>
      <w:pPr/>
      <w:r>
        <w:rPr>
          <w:b/>
        </w:rPr>
        <w:t xml:space="preserve">This document is a greenfield vNext design. </w:t>
      </w:r>
      <w:r>
        <w:t>The uploaded current schema and earlier AR philosophy / architecture files are treated as diagnostic reference material only, not as a constraint on the final target model.</w:t>
      </w:r>
    </w:p>
    <w:p>
      <w:r>
        <w:br w:type="page"/>
      </w:r>
    </w:p>
    <w:p>
      <w:pPr>
        <w:pStyle w:val="Heading1"/>
      </w:pPr>
      <w:r>
        <w:t>Executive summary</w:t>
      </w:r>
    </w:p>
    <w:p>
      <w:r>
        <w:t>The target km_arabic schema should be organized as a layered acquisition engine, not as a mixed lesson store. It must support level-based growth, track-aware learning, rich material ownership, pedagogic packetization, spaced acquisition, cohort delivery, and app-feed projection from one canonical model.</w:t>
      </w:r>
    </w:p>
    <w:p>
      <w:r>
        <w:t>This document therefore separates the final acquisition ontology from the current mixed schema and lays out which table families should exist, what each family should own, and how the layers should relate.</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Key architectural stance: </w:t>
            </w:r>
            <w:r>
              <w:rPr>
                <w:rFonts w:ascii="Arial" w:hAnsi="Arial"/>
                <w:sz w:val="20"/>
              </w:rPr>
              <w:t>The final km_arabic DB should be comprehensive for Arabic acquisition, but it should not re-own universal linguistic truth or Quran-native corpus truth. It should link outward to those layers by typed refs.</w:t>
            </w:r>
          </w:p>
        </w:tc>
      </w:tr>
    </w:tbl>
    <w:p/>
    <w:p>
      <w:pPr>
        <w:pStyle w:val="Heading1"/>
      </w:pPr>
      <w:r>
        <w:t>1. Executive target state</w:t>
      </w:r>
    </w:p>
    <w:p>
      <w:pPr/>
      <w:r>
        <w:t>This document defines the target data map for a brand new km_arabic database. It is not a migration script dump and it is not a cleaned-up version of the current schema. It is the intended long-term acquisition model that should be able to hold the full universe of Arabic learning content and learner state.</w:t>
      </w:r>
    </w:p>
    <w:p>
      <w:pPr/>
      <w:r>
        <w:t>The target state assumes that km_arabic will own acquisition-native truth: learner progression, leveling, packetization, material segmentation, review logic, challenge delivery, and app-feed projections. Universal linguistic truth remains in km_arabic_linguistics, and Quran-specific analytical truth remains in km_quran.</w:t>
      </w:r>
    </w:p>
    <w:p>
      <w:pPr>
        <w:ind w:left="259" w:hanging="259"/>
      </w:pPr>
      <w:r>
        <w:rPr>
          <w:b/>
        </w:rPr>
        <w:t xml:space="preserve">• </w:t>
      </w:r>
      <w:r>
        <w:rPr>
          <w:b/>
        </w:rPr>
        <w:t>Greenfield stance</w:t>
      </w:r>
      <w:r>
        <w:t xml:space="preserve"> - new canonical tables should be named for long-term clarity, not for backward comfort.</w:t>
      </w:r>
    </w:p>
    <w:p>
      <w:pPr>
        <w:ind w:left="259" w:hanging="259"/>
      </w:pPr>
      <w:r>
        <w:rPr>
          <w:b/>
        </w:rPr>
        <w:t xml:space="preserve">• </w:t>
      </w:r>
      <w:r>
        <w:rPr>
          <w:b/>
        </w:rPr>
        <w:t>Keep vs move</w:t>
      </w:r>
      <w:r>
        <w:t xml:space="preserve"> - only AR-owned acquisition families should stay in km_arabic.</w:t>
      </w:r>
    </w:p>
    <w:p>
      <w:pPr>
        <w:ind w:left="259" w:hanging="259"/>
      </w:pPr>
      <w:r>
        <w:rPr>
          <w:b/>
        </w:rPr>
        <w:t xml:space="preserve">• </w:t>
      </w:r>
      <w:r>
        <w:rPr>
          <w:b/>
        </w:rPr>
        <w:t>Design lens</w:t>
      </w:r>
      <w:r>
        <w:t xml:space="preserve"> - stable acquisition truth first; projections, exports, and UI helpers second.</w:t>
      </w:r>
    </w:p>
    <w:p>
      <w:pPr>
        <w:pStyle w:val="Heading1"/>
      </w:pPr>
      <w:r>
        <w:t>2. Diagnosis of the current reference schema</w:t>
      </w:r>
    </w:p>
    <w:p>
      <w:pPr/>
      <w:r>
        <w:t>The current schema is valuable because it reveals both strengths and boundary problems. It already contains useful Arabic-learning seeds: domains, phrases, grammar units, lessons, progress, notes, occurrences, and SRS. At the same time, the same schema file also contains large families that clearly belong elsewhere or reflect transitional scaffolding.</w:t>
      </w:r>
    </w:p>
    <w:p>
      <w:pPr/>
      <w:r>
        <w:t>In the reference schema, km_arabic is currently carrying several kinds of data at once: acquisition rows, universal lexicon and morphology rows, Quran corpus rows, source ingestion rows, planner rows, capture rows, UI rows, and other cross-domain tables. That mixture is exactly why a fresh target-state data map is needed.</w:t>
      </w:r>
    </w:p>
    <w:p>
      <w:pPr>
        <w:ind w:left="259" w:hanging="259"/>
      </w:pPr>
      <w:r>
        <w:rPr>
          <w:b/>
        </w:rPr>
        <w:t xml:space="preserve">• </w:t>
      </w:r>
      <w:r>
        <w:rPr>
          <w:b/>
        </w:rPr>
        <w:t>Healthy seeds already visible</w:t>
      </w:r>
      <w:r>
        <w:t xml:space="preserve"> - ar_domain, ar_domain_phrase, ar_grammar_units, ar_grammar_unit_items, ar_lessons, ar_lesson_* progress, ar_notes, ar_occ_*, ar_srs.</w:t>
      </w:r>
    </w:p>
    <w:p>
      <w:pPr>
        <w:ind w:left="259" w:hanging="259"/>
      </w:pPr>
      <w:r>
        <w:rPr>
          <w:b/>
        </w:rPr>
        <w:t xml:space="preserve">• </w:t>
      </w:r>
      <w:r>
        <w:rPr>
          <w:b/>
        </w:rPr>
        <w:t>Boundary bleed currently visible</w:t>
      </w:r>
      <w:r>
        <w:t xml:space="preserve"> - ar_u_* linguistic truth, ar_source_* indexing, ar_quran_* corpus tables, km_capture / sp_* planning surfaces, and ui_* diagram rows.</w:t>
      </w:r>
    </w:p>
    <w:p>
      <w:pPr>
        <w:ind w:left="259" w:hanging="259"/>
      </w:pPr>
      <w:r>
        <w:rPr>
          <w:b/>
        </w:rPr>
        <w:t xml:space="preserve">• </w:t>
      </w:r>
      <w:r>
        <w:rPr>
          <w:b/>
        </w:rPr>
        <w:t>Main structural issue</w:t>
      </w:r>
      <w:r>
        <w:t xml:space="preserve"> - the current ontology is built around containers, units, tasks, lessons, and mixed row families, which is too flat and too cross-cutting for the final acquisition engine.</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Interpretive rule: </w:t>
            </w:r>
            <w:r>
              <w:rPr>
                <w:rFonts w:ascii="Arial" w:hAnsi="Arial"/>
                <w:sz w:val="20"/>
              </w:rPr>
              <w:t>The correct response is not to preserve everything. The correct response is to separate enduring acquisition concepts from temporary scaffolding and foreign-domain spillover.</w:t>
            </w:r>
          </w:p>
        </w:tc>
      </w:tr>
    </w:tbl>
    <w:p/>
    <w:p>
      <w:pPr>
        <w:pStyle w:val="Heading1"/>
      </w:pPr>
      <w:r>
        <w:t>3. Current-to-target disposition map</w:t>
      </w:r>
    </w:p>
    <w:p>
      <w:pPr/>
      <w:r>
        <w:t>The table below summarizes how the major current families should be treated when designing the new database.</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952"/>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Current family</w:t>
            </w:r>
          </w:p>
        </w:tc>
        <w:tc>
          <w:tcPr>
            <w:tcW w:type="dxa" w:w="1872"/>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Action</w:t>
            </w:r>
          </w:p>
        </w:tc>
        <w:tc>
          <w:tcPr>
            <w:tcW w:type="dxa" w:w="453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Target meaning</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ar_domain / ar_domain_phrase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Keep as concept, redesign</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Become normalized domain / scenario / phrase-set families.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ar_grammar_units / items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Keep as concept, redesign</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Become curriculum spine with recursive units and packet publishing.</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ar_lessons / ar_lesson_*</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Transform</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Split into packets, assignments, user packet state, and cohort delivery.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ar_srs / ar_reviews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Transform</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Become review cards, review events, scheduler state, and mastery evidence.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ar_occ_sentence / token / grammar</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Specialize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Retain only as pedagogy-side occurrence annotations if still needed.</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ar_containers / ar_container_units / ar_container_unit_task</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Retire as core ontology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May survive only as transitional import scaffolding.</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ar_u_* / ar_source_* / token_lexicon_link</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Move out</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Belong in km_arabic_linguistics.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ar_quran_* families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Move out</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Belong in km_quran.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km_capture / km_plans / sp_* / ui_*</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Remove from AR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Belong in planner, content, or presentation-specific modules.</w:t>
            </w:r>
          </w:p>
        </w:tc>
      </w:tr>
    </w:tbl>
    <w:p/>
    <w:p>
      <w:pPr>
        <w:pStyle w:val="Heading1"/>
      </w:pPr>
      <w:r>
        <w:t>4. Target ownership boundaries</w:t>
      </w:r>
    </w:p>
    <w:p>
      <w:pPr/>
      <w:r>
        <w:t>For the final database to stay coherent for years, ownership boundaries must be explicit and stable.</w:t>
      </w:r>
    </w:p>
    <w:p>
      <w:pPr>
        <w:ind w:left="259" w:hanging="259"/>
      </w:pPr>
      <w:r>
        <w:rPr>
          <w:b/>
        </w:rPr>
        <w:t xml:space="preserve">• </w:t>
      </w:r>
      <w:r>
        <w:rPr>
          <w:b/>
        </w:rPr>
        <w:t>km_arabic owns</w:t>
      </w:r>
      <w:r>
        <w:t xml:space="preserve"> - learner profiles, tracks, levels, materials, pedagogic segments, packets, challenge templates, attempts, reviews, telemetry, and app-feed projections.</w:t>
      </w:r>
    </w:p>
    <w:p>
      <w:pPr>
        <w:ind w:left="259" w:hanging="259"/>
      </w:pPr>
      <w:r>
        <w:rPr>
          <w:b/>
        </w:rPr>
        <w:t xml:space="preserve">• </w:t>
      </w:r>
      <w:r>
        <w:rPr>
          <w:b/>
        </w:rPr>
        <w:t>km_arabic_linguistics owns</w:t>
      </w:r>
      <w:r>
        <w:t xml:space="preserve"> - roots, lemmas, morphology, grammar definitions, balagha registries, lexicon evidence, and reusable linguistic truth.</w:t>
      </w:r>
    </w:p>
    <w:p>
      <w:pPr>
        <w:ind w:left="259" w:hanging="259"/>
      </w:pPr>
      <w:r>
        <w:rPr>
          <w:b/>
        </w:rPr>
        <w:t xml:space="preserve">• </w:t>
      </w:r>
      <w:r>
        <w:rPr>
          <w:b/>
        </w:rPr>
        <w:t>km_quran owns</w:t>
      </w:r>
      <w:r>
        <w:t xml:space="preserve"> - Quran corpus, passage structure, Quran-native analysis, and tafsir-specific analytical truth.</w:t>
      </w:r>
    </w:p>
    <w:p>
      <w:pPr>
        <w:ind w:left="259" w:hanging="259"/>
      </w:pPr>
      <w:r>
        <w:rPr>
          <w:b/>
        </w:rPr>
        <w:t xml:space="preserve">• </w:t>
      </w:r>
      <w:r>
        <w:rPr>
          <w:b/>
        </w:rPr>
        <w:t>km_content may own</w:t>
      </w:r>
      <w:r>
        <w:t xml:space="preserve"> - generic publishing documents, reusable generic media infrastructure, and cross-module editorial surfaces if retained.</w:t>
      </w:r>
    </w:p>
    <w:p>
      <w:pPr>
        <w:ind w:left="259" w:hanging="259"/>
      </w:pPr>
      <w:r>
        <w:rPr>
          <w:b/>
        </w:rPr>
        <w:t xml:space="preserve">• </w:t>
      </w:r>
      <w:r>
        <w:rPr>
          <w:b/>
        </w:rPr>
        <w:t>km_planner owns</w:t>
      </w:r>
      <w:r>
        <w:t xml:space="preserve"> - planning and scheduling operations, not acquisition semantics.</w:t>
      </w:r>
    </w:p>
    <w:p>
      <w:pPr>
        <w:ind w:left="259" w:hanging="259"/>
      </w:pPr>
      <w:r>
        <w:rPr>
          <w:b/>
        </w:rPr>
        <w:t xml:space="preserve">• </w:t>
      </w:r>
      <w:r>
        <w:rPr>
          <w:b/>
        </w:rPr>
        <w:t>km_core owns</w:t>
      </w:r>
      <w:r>
        <w:t xml:space="preserve"> - identity, workspaces, permissions, and cross-platform membership.</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Rule: </w:t>
            </w:r>
            <w:r>
              <w:rPr>
                <w:rFonts w:ascii="Arial" w:hAnsi="Arial"/>
                <w:sz w:val="20"/>
              </w:rPr>
              <w:t>Cross-module references should be stored as typed string refs and resolved at the service layer. No cross-database SQL foreign keys.</w:t>
            </w:r>
          </w:p>
        </w:tc>
      </w:tr>
    </w:tbl>
    <w:p/>
    <w:p>
      <w:pPr>
        <w:pStyle w:val="Heading1"/>
      </w:pPr>
      <w:r>
        <w:t>5. Canonical layer map</w:t>
      </w:r>
    </w:p>
    <w:p>
      <w:pPr/>
      <w:r>
        <w:t>The target schema should be layered so that stable truth sits above projections and below delivery-specific convenience. The layers below are ordered roughly from foundational to downstream.</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792"/>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Layer</w:t>
            </w:r>
          </w:p>
        </w:tc>
        <w:tc>
          <w:tcPr>
            <w:tcW w:type="dxa" w:w="2592"/>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Name</w:t>
            </w:r>
          </w:p>
        </w:tc>
        <w:tc>
          <w:tcPr>
            <w:tcW w:type="dxa" w:w="597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What lives here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L1</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Registry and taxonomy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levels, tracks, skills, material kinds, pedagogic modes, difficulty bands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L2</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Learner model</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user acquisition profile, placement, preferences, track state, skill state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L3</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Curriculum spine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curricula, units, subunits, examples, packet release points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L4</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Domains and scenarios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use-case learning by setting, role, situation, and phrase pattern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L5</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Material library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stories, dialogues, poems, adab, songs, drama, lectures, readers, essays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L6</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Segmentation and media surfaces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lines, stanzas, scenes, turns, timestamps, transcript segments, cue ranges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L7</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Packetization</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learning packets, packet parts, packet scope links, render modes, release rules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L8</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Challenges and assessments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challenge templates, challenge instances, attempts, evaluations, hints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L9</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Review and spaced acquisition</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review cards, review events, scheduler state, exposure history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L10</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Cohort and publication</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classes, memberships, assignments, teacher feedback, visibility</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L11</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Telemetry and recommendations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mastery, weak spots, signals, progression events, next-best work</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L12</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App-feed projections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app paths, steps, app packets, prompt variants, app session events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L13</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Bridge contracts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links to AL concepts, QR examples, CM assets, and PL references</w:t>
            </w:r>
          </w:p>
        </w:tc>
      </w:tr>
    </w:tbl>
    <w:p/>
    <w:p>
      <w:pPr>
        <w:pStyle w:val="Heading1"/>
      </w:pPr>
      <w:r>
        <w:t>6. Layer 1 - Registry and taxonomy</w:t>
      </w:r>
    </w:p>
    <w:p>
      <w:pPr/>
      <w:r>
        <w:t>Registry tables should hold the stable naming systems that every other family depends on: levels, tracks, skills, material kinds, packet kinds, challenge kinds, and difficulty bands. These are not merely enums in code. They are part of the durable knowledge of the acquisition system because they drive authoring, recommendation, analytics, and publishing.</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ar_levels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registry of acquisition levels and progression order</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level_key, title, order_index, stage_group, description</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ar_tracks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MSA, Classical, blended, and other formal tracks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track_key, title, description, is_active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ar_track_variants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presentation or audience variants under a track</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variant_key, track_id, audience_type, pacing_profile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ar_skills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canonical skill lattice</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skill_key, title, skill_group, measurement_mode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ar_material_types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canonical material classes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type_key, title, supports_audio, supports_turns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ar_packet_types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packet families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packet_type_key, title, default_duration_min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ar_challenge_types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interaction types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challenge_type_key, title, response_mode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ar_difficulty_bands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difficulty and complexity registry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band_key, label, order_index, notes</w:t>
            </w:r>
          </w:p>
        </w:tc>
      </w:tr>
    </w:tbl>
    <w:p/>
    <w:p>
      <w:pPr>
        <w:pStyle w:val="Heading1"/>
      </w:pPr>
      <w:r>
        <w:t>7. Layer 2 - Learner model</w:t>
      </w:r>
    </w:p>
    <w:p>
      <w:pPr/>
      <w:r>
        <w:t>The learner model should be strong enough to describe how a learner is acquiring Arabic, not only what the learner clicked last. This layer should separate profile, track state, skill state, preferences, goals, and placement events.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ar_user_acquisition_profiles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top-level AR profile per user</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profile_id, core_user_ref, preferred_track_id, preferred_variant_id</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ar_user_track_profiles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state per learner per track</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track_id, active_level_id, placement_status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ar_user_skill_states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current mastery by learner and skill</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profile_id, track_id, skill_id, level_id, confidence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ar_user_preferences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rendering and pedagogy preferences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transliteration_mode, audio_speed_pref, hints_policy</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ar_user_goal_profiles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acquisition goals and emphasis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profile_id, goal_type, weekly_target, focus_skills_json</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ar_user_placement_events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placement results and snapshots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track_id, instrument_key, result_json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ar_user_progression_events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promotion / demotion / milestone logs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profile_id, event_type, old_level_id, new_level_id</w:t>
            </w:r>
          </w:p>
        </w:tc>
      </w:tr>
    </w:tbl>
    <w:p/>
    <w:p>
      <w:pPr>
        <w:pStyle w:val="Heading1"/>
      </w:pPr>
      <w:r>
        <w:t>8. Layer 3 - Curriculum spine</w:t>
      </w:r>
    </w:p>
    <w:p>
      <w:pPr/>
      <w:r>
        <w:t>The curriculum layer should provide a recursive structured spine for pronunciation, orthography, phrase patterns, sarf, nahw, balagha, writing, and register bridge work. Packets are published from this spine; the spine itself should not collapse into packet rows.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ar_curricula</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top-level curriculum containers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curriculum_id, curriculum_key, title, track_scope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ar_curriculum_units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major ordered branches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unit_id, curriculum_id, parent_unit_id, unit_type, title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ar_curriculum_examples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examples and model cases bound to unit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unit_id, example_kind, text_ref, note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ar_curriculum_packet_links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publishing points from curriculum into packets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unit_id, packet_id, release_rule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ar_curriculum_level_rules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what level / skill gates apply at unit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unit_id, level_id, skill_id, policy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ar_curriculum_mastery_rules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completion logic for unit advancement</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unit_id, threshold_json, evidence_policy</w:t>
            </w:r>
          </w:p>
        </w:tc>
      </w:tr>
    </w:tbl>
    <w:p/>
    <w:p>
      <w:pPr>
        <w:pStyle w:val="Heading1"/>
      </w:pPr>
      <w:r>
        <w:t>9. Layer 4 - Domains and scenarios</w:t>
      </w:r>
    </w:p>
    <w:p>
      <w:pPr/>
      <w:r>
        <w:t>Domains and scenarios let the database teach Arabic in situated form. They should carry roles, turns, phrase sets, expected patterns, and links into packets. This is how the engine turns 'market' or 'travel' from a topic label into a teachable interaction system.</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ar_domains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settings such as home, market, school, travel</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domain_id, domain_key, title, title_ar</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ar_scenarios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situational learning objects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scenario_id, domain_id, title, role_context, level_id</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ar_scenario_roles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speaker / participant roles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scenario_id, role_key, title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ar_scenario_turns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ordered dialogue turns or steps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scenario_id, order_index, speaker_role_id, text_ref</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ar_scenario_phrase_sets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reusable phrase bundles for scenario</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scenario_id, set_type, level_id</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ar_scenario_pattern_links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expected grammar or expression patterns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scenario_id, al_ref, note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ar_scenario_packet_links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packet publishing from scenario</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scenario_id, packet_id, purpose</w:t>
            </w:r>
          </w:p>
        </w:tc>
      </w:tr>
    </w:tbl>
    <w:p/>
    <w:p>
      <w:pPr>
        <w:pStyle w:val="Heading1"/>
      </w:pPr>
      <w:r>
        <w:t>10. Layer 5 - Material library</w:t>
      </w:r>
    </w:p>
    <w:p>
      <w:pPr/>
      <w:r>
        <w:t>This layer is where the new design most clearly departs from a narrow lesson store. km_arabic should own the acquisition-facing material catalog and should be able to contain stories, adab, poetry, songs, drama scripts, readers, lectures, speeches, essays, and anthologies.</w:t>
      </w:r>
    </w:p>
    <w:p>
      <w:pPr/>
      <w:r>
        <w:t>Material items must support both high-level ownership and low-level pedagogic reuse. One work can have many versions, many segments, many level links, and many packet outputs.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ar_material_collections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anthologies, series, reading bands, or playlists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collection_id, title, collection_type, track_scope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ar_material_items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canonical material objects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material_id, material_type_id, title, language_register, rights_status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ar_material_versions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versioned text / transcript / adaptation variants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version_id, material_id, version_kind, source_ref</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ar_material_segments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stable pedagogic slices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segment_id, material_id, segment_kind, parent_segment_id, order_index</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ar_material_tags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tagging by theme, tone, topic, or pedagogy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material_id, tag_key, weight</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ar_material_track_links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track eligibility and notes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material_id, track_id, relevance_note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ar_material_level_links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level suitability at material or segment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material_or_segment_ref, level_id, confidence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ar_material_rights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provenance and usage restrictions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material_id, rights_class, external_source, policy_json</w:t>
            </w:r>
          </w:p>
        </w:tc>
      </w:tr>
    </w:tbl>
    <w:p/>
    <w:p>
      <w:pPr>
        <w:pStyle w:val="Heading3"/>
      </w:pPr>
      <w:r>
        <w:t>Material-specific profiles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Profile table</w:t>
            </w:r>
          </w:p>
        </w:tc>
        <w:tc>
          <w:tcPr>
            <w:tcW w:type="dxa" w:w="309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ar_poetry_profiles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poetry-specific metadata</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material_id, stanza_count, meter_note, memorization_priority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ar_story_profiles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narrative metadata</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material_id, narrative_mode, character_json, scene_count</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ar_drama_profiles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script / roleplay metadata</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material_id, cast_json, performable_flag, turn_count</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ar_song_profiles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song or chant metadata</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material_id, refrain_pattern, tempo_note, repetition_map_json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ar_lecture_profiles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lecture / speech metadata</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material_id, speaker_name, setting, transcript_quality</w:t>
            </w:r>
          </w:p>
        </w:tc>
      </w:tr>
    </w:tbl>
    <w:p/>
    <w:p>
      <w:pPr>
        <w:pStyle w:val="Heading1"/>
      </w:pPr>
      <w:r>
        <w:t>11. Layer 6 - Segmentation and media surfaces</w:t>
      </w:r>
    </w:p>
    <w:p>
      <w:pPr/>
      <w:r>
        <w:t>Segmentation should make the material teachable. This includes lines, turns, stanzas, transcript segments, scenes, cue ranges, and display variants. Without this layer, rich material remains a blob instead of becoming a reusable acquisition source.</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ar_audio_assets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canonical audio surfaces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audio_id, material_or_segment_ref, asset_ref, duration_ms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ar_audio_cues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start / end ranges and repeat points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audio_id, cue_type, start_ms, end_ms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ar_transcript_segments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text aligned to audio or scene slices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material_or_segment_ref, order_index, text_ar, translation</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ar_scene_frames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scene-level segmentation for script / drama / video</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material_id, scene_no, timestamp_start, timestamp_end</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ar_line_units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ordered lines, turns, stanzas, or sentences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segment_id, unit_kind, order_index, text_ar</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ar_render_variants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different display variants for same unit</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target_ref, variant_type, payload_json</w:t>
            </w:r>
          </w:p>
        </w:tc>
      </w:tr>
    </w:tbl>
    <w:p/>
    <w:p>
      <w:pPr>
        <w:pStyle w:val="Heading1"/>
      </w:pPr>
      <w:r>
        <w:t>12. Layer 7 - Packetization</w:t>
      </w:r>
    </w:p>
    <w:p>
      <w:pPr/>
      <w:r>
        <w:t>Packets are the core delivery-ready bundles of the system. They should link back to source scopes, declare goals, carry release rules, and support different render policies. Packets are where curriculum, scenario, literature, and audio-first pathways become concrete learning work.</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ar_learning_packets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canonical pedagogic bundles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packet_id, packet_type_id, title, level_id, track_scope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ar_packet_parts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ordered components inside a packet</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packet_id, order_index, part_type, source_ref</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ar_packet_scope_links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links packet to curriculum, scenario, or material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packet_id, scope_type, scope_ref</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ar_packet_release_rules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eligibility / gating rules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packet_id, level_rule_json, prerequisite_json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ar_packet_goal_links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declared learning goals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packet_id, skill_id, goal_type, weight</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ar_packet_hint_policies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hint and support profile</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packet_id, hints_mode, gloss_mode, transliteration_mode</w:t>
            </w:r>
          </w:p>
        </w:tc>
      </w:tr>
    </w:tbl>
    <w:p/>
    <w:p>
      <w:pPr>
        <w:pStyle w:val="Heading1"/>
      </w:pPr>
      <w:r>
        <w:t>13. Layer 8 - Challenges and assessments</w:t>
      </w:r>
    </w:p>
    <w:p>
      <w:pPr/>
      <w:r>
        <w:t>Challenge tables should model the interactions learners perform, while assessment tables should support placement, checkpoints, and formal evaluation. Remediation rules should live beside the challenge and packet system so that follow-up work can be produced cleanly.</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ar_challenge_templates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reusable challenge definitions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template_id, challenge_type_id, title, response_schema_json</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ar_packet_challenges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challenges instantiated for a packet</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packet_id, template_id, order_index, challenge_payload_json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ar_attempts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learner attempts at challenge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attempt_id, profile_id, packet_challenge_id, started_at, completed_at</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ar_response_evaluations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evaluation details for attempts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attempt_id, score, rubric_json, teacher_flag</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ar_assessment_sets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bundled assessments or placement instruments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set_id, title, assessment_kind, track_scope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ar_assessment_items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items within assessment sets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set_id, order_index, prompt_ref, expected_json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ar_remediation_rules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rule-driven follow-up logic</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rule_id, trigger_scope, condition_json, followup_packet_ref</w:t>
            </w:r>
          </w:p>
        </w:tc>
      </w:tr>
    </w:tbl>
    <w:p/>
    <w:p>
      <w:pPr>
        <w:pStyle w:val="Heading1"/>
      </w:pPr>
      <w:r>
        <w:t>14. Layer 9 - Review and spaced acquisition</w:t>
      </w:r>
    </w:p>
    <w:p>
      <w:pPr/>
      <w:r>
        <w:t>Review is broader than classic flashcards. The database should support spaced recall, but also repeated exposure, memory reinforcement, scheduler state, and non-quiz contact with material. This allows story lines, dialogue turns, and grammar patterns to all enter the review ecosystem.</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ar_review_cards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canonical spaced review items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card_id, profile_id, item_ref, scheduler_type, status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ar_review_events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actual review interactions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event_id, card_id, rating, reviewed_at, latency_ms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ar_scheduler_state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scheduler variables such as stability and difficulty</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card_id, next_due_at, stability, difficulty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ar_exposure_log</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non-quiz contact with packets or segments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source_ref, exposure_kind, duration_s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ar_memory_links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shared memory relation across packet and material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profile_id, source_ref, memory_weight</w:t>
            </w:r>
          </w:p>
        </w:tc>
      </w:tr>
    </w:tbl>
    <w:p/>
    <w:p>
      <w:pPr>
        <w:pStyle w:val="Heading1"/>
      </w:pPr>
      <w:r>
        <w:t>15. Layer 10 - Cohort and publication</w:t>
      </w:r>
    </w:p>
    <w:p>
      <w:pPr/>
      <w:r>
        <w:t>Classes, assignments, teacher feedback, and publication scope should be layered on top of canonical materials, packets, and mastery state. This keeps one ontology for private study and teacher-led learning.</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ar_classes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teacher-led classes or cohorts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class_id, core_workspace_ref, title, track_scope, status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ar_class_memberships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membership and role rows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class_id, core_user_ref, role, status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ar_class_assignments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assigned packets / assessments / reading sets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assignment_id, class_id, target_type, target_ref</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ar_teacher_feedback</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teacher review and comments as mastery evidence</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assignment_or_attempt_ref, reviewer_ref, feedback_json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ar_visibility_rules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private / workspace / published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target_ref, visibility_mode, rule_json</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ar_publication_targets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where a packet or material is published</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target_ref, target_kind, status</w:t>
            </w:r>
          </w:p>
        </w:tc>
      </w:tr>
    </w:tbl>
    <w:p/>
    <w:p>
      <w:pPr>
        <w:pStyle w:val="Heading1"/>
      </w:pPr>
      <w:r>
        <w:t>16. Layer 11 - Telemetry and recommendation</w:t>
      </w:r>
    </w:p>
    <w:p>
      <w:pPr/>
      <w:r>
        <w:t>Telemetry tables should aggregate evidence into mastery, weak spots, progression events, and recommendation queues. The database should explain what the learner needs next rather than merely list completed rows.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ar_mastery_states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current mastery by learner and scope</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profile_id, scope_type, scope_ref, mastery_score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ar_skill_observations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raw mastery observations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skill_id, source_ref, observation_type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ar_weakspots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actionable bounded weaknesses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profile_id, weakspot_key, scope_ref, severity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ar_recommendation_queue</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next-best work candidates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target_ref, reason_code, priority_score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ar_learning_signals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aggregated events used by recommendations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profile_id, signal_type, signal_value, source_ref</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ar_daily_paths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curated daily practice bundles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date_key, path_json, status</w:t>
            </w:r>
          </w:p>
        </w:tc>
      </w:tr>
    </w:tbl>
    <w:p/>
    <w:p>
      <w:pPr>
        <w:pStyle w:val="Heading1"/>
      </w:pPr>
      <w:r>
        <w:t>17. Layer 12 - App-feed projections</w:t>
      </w:r>
    </w:p>
    <w:p>
      <w:pPr/>
      <w:r>
        <w:t>The Duolingo-style app should consume app paths, app steps, app packets, prompt variants, audio bindings, and app session events. These tables are projections of canonical learning truth, not replacements for it.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ar_app_paths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app-oriented paths derived from canonical AR truth</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path_id, profile_or_audience_ref, title, source_scope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ar_app_steps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ordered app steps inside a path</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path_id, order_index, packet_ref, micro_goal</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ar_app_packets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compact app-delivery packets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packet_ref, prompt_mode, expected_duration_s</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ar_app_prompt_variants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prompt render variants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app_packet_id, variant_type, payload_json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ar_app_audio_links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app cue bindings and playback rules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app_packet_id, audio_ref, cue_ref, replay_policy</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ar_app_session_events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app session telemetry</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session_key, event_type, payload_json</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ar_app_step_attempts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step-level micro-attempts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app_session_event_ref, step_ref, result_code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ar_app_streak_snapshots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derived app habit summaries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profile_id, snapshot_date, streak_days</w:t>
            </w:r>
          </w:p>
        </w:tc>
      </w:tr>
    </w:tbl>
    <w:p/>
    <w:p>
      <w:pPr>
        <w:pStyle w:val="Heading1"/>
      </w:pPr>
      <w:r>
        <w:t>18. Layer 13 - Bridge contracts</w:t>
      </w:r>
    </w:p>
    <w:p>
      <w:pPr/>
      <w:r>
        <w:t>Bridge tables should make inter-module links explicit and minimal. They are important because the long-term platform is multi-database, and AR must link to AL, QR, CM, PL, and CORE without stealing ownership.</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Table</w:t>
            </w:r>
          </w:p>
        </w:tc>
        <w:tc>
          <w:tcPr>
            <w:tcW w:type="dxa" w:w="3096"/>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Purpose</w:t>
            </w:r>
          </w:p>
        </w:tc>
        <w:tc>
          <w:tcPr>
            <w:tcW w:type="dxa" w:w="3384"/>
            <w:vAlign w:val="center"/>
            <w:tcMar>
              <w:top w:w="90" w:type="dxa"/>
              <w:start w:w="110" w:type="dxa"/>
              <w:bottom w:w="90" w:type="dxa"/>
              <w:end w:w="110" w:type="dxa"/>
            </w:tcMar>
            <w:shd w:fill="1F4E79"/>
          </w:tcPr>
          <w:p>
            <w:pPr>
              <w:spacing w:after="40" w:before="20" w:line="264" w:lineRule="auto"/>
              <w:jc w:val="center"/>
            </w:pPr>
            <w:r>
              <w:rPr>
                <w:rFonts w:ascii="Arial" w:hAnsi="Arial"/>
                <w:b/>
                <w:color w:val="FFFFFF"/>
                <w:sz w:val="18"/>
              </w:rPr>
              <w:t>Representative key columns</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ar_al_links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links from AR scopes to AL truth</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source_ref, al_ref, link_role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ar_qr_example_links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links to Quran examples or study surfaces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source_ref, qr_ref, note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ar_cm_asset_links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links to shared content/media assets if CM retained</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source_ref, cm_ref, usage_role</w:t>
            </w:r>
          </w:p>
        </w:tc>
      </w:tr>
      <w:tr>
        <w:tc>
          <w:tcPr>
            <w:tcW w:type="dxa" w:w="3264"/>
            <w:vAlign w:val="center"/>
            <w:tcMar>
              <w:top w:w="90" w:type="dxa"/>
              <w:start w:w="110" w:type="dxa"/>
              <w:bottom w:w="90" w:type="dxa"/>
              <w:end w:w="110" w:type="dxa"/>
            </w:tcMar>
          </w:tcPr>
          <w:p>
            <w:pPr>
              <w:spacing w:after="40" w:before="20" w:line="264" w:lineRule="auto"/>
            </w:pPr>
            <w:r>
              <w:rPr>
                <w:rFonts w:ascii="Arial" w:hAnsi="Arial"/>
                <w:sz w:val="18"/>
              </w:rPr>
              <w:t>ar_pl_links</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links for planner orchestration</w:t>
            </w:r>
          </w:p>
        </w:tc>
        <w:tc>
          <w:tcPr>
            <w:tcW w:type="dxa" w:w="3264"/>
            <w:vAlign w:val="center"/>
            <w:tcMar>
              <w:top w:w="90" w:type="dxa"/>
              <w:start w:w="110" w:type="dxa"/>
              <w:bottom w:w="90" w:type="dxa"/>
              <w:end w:w="110" w:type="dxa"/>
            </w:tcMar>
          </w:tcPr>
          <w:p>
            <w:pPr>
              <w:spacing w:after="40" w:before="20" w:line="264" w:lineRule="auto"/>
            </w:pPr>
            <w:r>
              <w:rPr>
                <w:rFonts w:ascii="Arial" w:hAnsi="Arial"/>
                <w:sz w:val="18"/>
              </w:rPr>
              <w:t>id, source_ref, pl_ref, link_note</w:t>
            </w:r>
          </w:p>
        </w:tc>
      </w:tr>
      <w:tr>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ar_doc_links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human-readable outbound documentation / export references</w:t>
            </w:r>
          </w:p>
        </w:tc>
        <w:tc>
          <w:tcPr>
            <w:tcW w:type="dxa" w:w="3264"/>
            <w:vAlign w:val="center"/>
            <w:tcMar>
              <w:top w:w="90" w:type="dxa"/>
              <w:start w:w="110" w:type="dxa"/>
              <w:bottom w:w="90" w:type="dxa"/>
              <w:end w:w="110" w:type="dxa"/>
            </w:tcMar>
            <w:shd w:fill="FBFCFD"/>
          </w:tcPr>
          <w:p>
            <w:pPr>
              <w:spacing w:after="40" w:before="20" w:line="264" w:lineRule="auto"/>
            </w:pPr>
            <w:r>
              <w:rPr>
                <w:rFonts w:ascii="Arial" w:hAnsi="Arial"/>
                <w:sz w:val="18"/>
              </w:rPr>
              <w:t>id, source_ref, doc_kind, external_ref</w:t>
            </w:r>
          </w:p>
        </w:tc>
      </w:tr>
    </w:tbl>
    <w:p/>
    <w:p>
      <w:pPr>
        <w:pStyle w:val="Heading1"/>
      </w:pPr>
      <w:r>
        <w:t>19. JSON boundaries and normalization rules</w:t>
      </w:r>
    </w:p>
    <w:p>
      <w:pPr/>
      <w:r>
        <w:t>The new database should be conservative about JSON. Use JSON when the payload is inherently variable, author-defined, or model-trace oriented. Do not use JSON to hide stable entity identity, stable ordering, or durable relationships that the system will query repeatedly.</w:t>
      </w:r>
    </w:p>
    <w:p>
      <w:pPr/>
      <w:r>
        <w:t>As a practical rule, packets, challenge payloads, render variants, rights payloads, and recommendation reasons can all justify JSON. Learner identities, track states, level states, segment identity, assignment relations, review events, and mastery scopes should remain normalized.</w:t>
      </w:r>
    </w:p>
    <w:p>
      <w:pPr>
        <w:ind w:left="259" w:hanging="259"/>
      </w:pPr>
      <w:r>
        <w:rPr>
          <w:b/>
        </w:rPr>
        <w:t xml:space="preserve">• </w:t>
      </w:r>
      <w:r>
        <w:rPr>
          <w:b/>
        </w:rPr>
        <w:t>Normalize</w:t>
      </w:r>
      <w:r>
        <w:t xml:space="preserve"> - entity identity, joins, ordering, scope links, timestamps, levels, statuses, track state, challenge attempts, review events.</w:t>
      </w:r>
    </w:p>
    <w:p>
      <w:pPr>
        <w:ind w:left="259" w:hanging="259"/>
      </w:pPr>
      <w:r>
        <w:rPr>
          <w:b/>
        </w:rPr>
        <w:t xml:space="preserve">• </w:t>
      </w:r>
      <w:r>
        <w:rPr>
          <w:b/>
        </w:rPr>
        <w:t>JSON is appropriate for</w:t>
      </w:r>
      <w:r>
        <w:t xml:space="preserve"> - editor payloads, variant render payloads, rubric details, speech analysis traces, external source metadata, policy blobs.</w:t>
      </w:r>
    </w:p>
    <w:p>
      <w:pPr>
        <w:ind w:left="259" w:hanging="259"/>
      </w:pPr>
      <w:r>
        <w:rPr>
          <w:b/>
        </w:rPr>
        <w:t xml:space="preserve">• </w:t>
      </w:r>
      <w:r>
        <w:rPr>
          <w:b/>
        </w:rPr>
        <w:t>Avoid the anti-pattern</w:t>
      </w:r>
      <w:r>
        <w:t xml:space="preserve"> - one giant lesson_json that contains what should actually be packets, parts, links, and learner evidence rows.</w:t>
      </w:r>
    </w:p>
    <w:p>
      <w:pPr>
        <w:pStyle w:val="Heading1"/>
      </w:pPr>
      <w:r>
        <w:t>20. Status systems and lifecycle guidance</w:t>
      </w:r>
    </w:p>
    <w:p>
      <w:pPr/>
      <w:r>
        <w:t>Lifecycle fields should be deliberate and limited. Not every table needs a status. Where lifecycle matters, statuses should correspond to a real operational transition.</w:t>
      </w:r>
    </w:p>
    <w:p>
      <w:pPr>
        <w:ind w:left="259" w:hanging="259"/>
      </w:pPr>
      <w:r>
        <w:rPr>
          <w:b/>
        </w:rPr>
        <w:t xml:space="preserve">• </w:t>
      </w:r>
      <w:r>
        <w:rPr>
          <w:b/>
        </w:rPr>
        <w:t>Authoring entities</w:t>
      </w:r>
      <w:r>
        <w:t xml:space="preserve"> - draft, review, active, archived, deprecated.</w:t>
      </w:r>
    </w:p>
    <w:p>
      <w:pPr>
        <w:ind w:left="259" w:hanging="259"/>
      </w:pPr>
      <w:r>
        <w:rPr>
          <w:b/>
        </w:rPr>
        <w:t xml:space="preserve">• </w:t>
      </w:r>
      <w:r>
        <w:rPr>
          <w:b/>
        </w:rPr>
        <w:t>Learner state entities</w:t>
      </w:r>
      <w:r>
        <w:t xml:space="preserve"> - active, paused, completed, suspended where appropriate.</w:t>
      </w:r>
    </w:p>
    <w:p>
      <w:pPr>
        <w:ind w:left="259" w:hanging="259"/>
      </w:pPr>
      <w:r>
        <w:rPr>
          <w:b/>
        </w:rPr>
        <w:t xml:space="preserve">• </w:t>
      </w:r>
      <w:r>
        <w:rPr>
          <w:b/>
        </w:rPr>
        <w:t>Assignment entities</w:t>
      </w:r>
      <w:r>
        <w:t xml:space="preserve"> - planned, released, in_progress, submitted, reviewed, closed.</w:t>
      </w:r>
    </w:p>
    <w:p>
      <w:pPr>
        <w:ind w:left="259" w:hanging="259"/>
      </w:pPr>
      <w:r>
        <w:rPr>
          <w:b/>
        </w:rPr>
        <w:t xml:space="preserve">• </w:t>
      </w:r>
      <w:r>
        <w:rPr>
          <w:b/>
        </w:rPr>
        <w:t>Publication entities</w:t>
      </w:r>
      <w:r>
        <w:t xml:space="preserve"> - private, workspace, published, archived - modeled as visibility or release state rather than generic status whenever possible.</w:t>
      </w:r>
    </w:p>
    <w:p>
      <w:pPr>
        <w:pStyle w:val="Heading1"/>
      </w:pPr>
      <w:r>
        <w:t>21. Indexing and query surfaces</w:t>
      </w:r>
    </w:p>
    <w:p>
      <w:pPr/>
      <w:r>
        <w:t>The long-term data model should be designed with the actual query surfaces in mind. Since the surrounding architecture uses D1 and typed refs across databases, indexing discipline is important.</w:t>
      </w:r>
    </w:p>
    <w:p>
      <w:pPr>
        <w:ind w:left="259" w:hanging="259"/>
      </w:pPr>
      <w:r>
        <w:rPr>
          <w:b/>
        </w:rPr>
        <w:t xml:space="preserve">• </w:t>
      </w:r>
      <w:r>
        <w:rPr>
          <w:b/>
        </w:rPr>
        <w:t>Core learner queries</w:t>
      </w:r>
      <w:r>
        <w:t xml:space="preserve"> - profile by user, track state by user and track, skill states by user and skill, weak spots by user, recommendation queue by user.</w:t>
      </w:r>
    </w:p>
    <w:p>
      <w:pPr>
        <w:ind w:left="259" w:hanging="259"/>
      </w:pPr>
      <w:r>
        <w:rPr>
          <w:b/>
        </w:rPr>
        <w:t xml:space="preserve">• </w:t>
      </w:r>
      <w:r>
        <w:rPr>
          <w:b/>
        </w:rPr>
        <w:t>Material queries</w:t>
      </w:r>
      <w:r>
        <w:t xml:space="preserve"> - materials by type, track, level suitability, collection, tag, rights status, and segment availability.</w:t>
      </w:r>
    </w:p>
    <w:p>
      <w:pPr>
        <w:ind w:left="259" w:hanging="259"/>
      </w:pPr>
      <w:r>
        <w:rPr>
          <w:b/>
        </w:rPr>
        <w:t xml:space="preserve">• </w:t>
      </w:r>
      <w:r>
        <w:rPr>
          <w:b/>
        </w:rPr>
        <w:t>Packet queries</w:t>
      </w:r>
      <w:r>
        <w:t xml:space="preserve"> - packets by level, track, pathway, source scope, publication status, and app eligibility.</w:t>
      </w:r>
    </w:p>
    <w:p>
      <w:pPr>
        <w:ind w:left="259" w:hanging="259"/>
      </w:pPr>
      <w:r>
        <w:rPr>
          <w:b/>
        </w:rPr>
        <w:t xml:space="preserve">• </w:t>
      </w:r>
      <w:r>
        <w:rPr>
          <w:b/>
        </w:rPr>
        <w:t>Challenge / review queries</w:t>
      </w:r>
      <w:r>
        <w:t xml:space="preserve"> - attempts by user, due reviews by user, failed challenge clusters, remediation candidates.</w:t>
      </w:r>
    </w:p>
    <w:p>
      <w:pPr>
        <w:ind w:left="259" w:hanging="259"/>
      </w:pPr>
      <w:r>
        <w:rPr>
          <w:b/>
        </w:rPr>
        <w:t xml:space="preserve">• </w:t>
      </w:r>
      <w:r>
        <w:rPr>
          <w:b/>
        </w:rPr>
        <w:t>Cohort queries</w:t>
      </w:r>
      <w:r>
        <w:t xml:space="preserve"> - assignments by class and status, feedback by reviewer, learner completion by class.</w:t>
      </w:r>
    </w:p>
    <w:p>
      <w:pPr>
        <w:ind w:left="259" w:hanging="259"/>
      </w:pPr>
      <w:r>
        <w:rPr>
          <w:b/>
        </w:rPr>
        <w:t xml:space="preserve">• </w:t>
      </w:r>
      <w:r>
        <w:rPr>
          <w:b/>
        </w:rPr>
        <w:t>Suggested implementation</w:t>
      </w:r>
      <w:r>
        <w:t xml:space="preserve"> - use composite indexes on the fields that actually define these query surfaces rather than relying on broad JSON scans.</w:t>
      </w:r>
    </w:p>
    <w:p>
      <w:pPr>
        <w:pStyle w:val="Heading1"/>
      </w:pPr>
      <w:r>
        <w:t>22. Recommended build order</w:t>
      </w:r>
    </w:p>
    <w:p>
      <w:pPr/>
      <w:r>
        <w:t>Even for a greenfield redesign, build order matters. The safest approach is to establish the stable registries, learner model, and material spine before layering packetization, review, telemetry, and app projections.</w:t>
      </w:r>
    </w:p>
    <w:p>
      <w:pPr>
        <w:ind w:left="259" w:hanging="259"/>
      </w:pPr>
      <w:r>
        <w:rPr>
          <w:b/>
        </w:rPr>
        <w:t xml:space="preserve">• </w:t>
      </w:r>
      <w:r>
        <w:rPr>
          <w:b/>
        </w:rPr>
        <w:t>Phase A</w:t>
      </w:r>
      <w:r>
        <w:t xml:space="preserve"> - registry tables, learner model, core material library, level / track / skill foundations.</w:t>
      </w:r>
    </w:p>
    <w:p>
      <w:pPr>
        <w:ind w:left="259" w:hanging="259"/>
      </w:pPr>
      <w:r>
        <w:rPr>
          <w:b/>
        </w:rPr>
        <w:t xml:space="preserve">• </w:t>
      </w:r>
      <w:r>
        <w:rPr>
          <w:b/>
        </w:rPr>
        <w:t>Phase B</w:t>
      </w:r>
      <w:r>
        <w:t xml:space="preserve"> - curriculum spine, domains, scenarios, segmentation, and packetization.</w:t>
      </w:r>
    </w:p>
    <w:p>
      <w:pPr>
        <w:ind w:left="259" w:hanging="259"/>
      </w:pPr>
      <w:r>
        <w:rPr>
          <w:b/>
        </w:rPr>
        <w:t xml:space="preserve">• </w:t>
      </w:r>
      <w:r>
        <w:rPr>
          <w:b/>
        </w:rPr>
        <w:t>Phase C</w:t>
      </w:r>
      <w:r>
        <w:t xml:space="preserve"> - challenges, attempts, review cards, scheduler state, and early mastery logic.</w:t>
      </w:r>
    </w:p>
    <w:p>
      <w:pPr>
        <w:ind w:left="259" w:hanging="259"/>
      </w:pPr>
      <w:r>
        <w:rPr>
          <w:b/>
        </w:rPr>
        <w:t xml:space="preserve">• </w:t>
      </w:r>
      <w:r>
        <w:rPr>
          <w:b/>
        </w:rPr>
        <w:t>Phase D</w:t>
      </w:r>
      <w:r>
        <w:t xml:space="preserve"> - classes, assignments, teacher feedback, and publication scope.</w:t>
      </w:r>
    </w:p>
    <w:p>
      <w:pPr>
        <w:ind w:left="259" w:hanging="259"/>
      </w:pPr>
      <w:r>
        <w:rPr>
          <w:b/>
        </w:rPr>
        <w:t xml:space="preserve">• </w:t>
      </w:r>
      <w:r>
        <w:rPr>
          <w:b/>
        </w:rPr>
        <w:t>Phase E</w:t>
      </w:r>
      <w:r>
        <w:t xml:space="preserve"> - recommendation queue, daily paths, app paths, app packets, and advanced telemetry.</w:t>
      </w:r>
    </w:p>
    <w:p>
      <w:pPr>
        <w:ind w:left="259" w:hanging="259"/>
      </w:pPr>
      <w:r>
        <w:rPr>
          <w:b/>
        </w:rPr>
        <w:t xml:space="preserve">• </w:t>
      </w:r>
      <w:r>
        <w:rPr>
          <w:b/>
        </w:rPr>
        <w:t>Phase F</w:t>
      </w:r>
      <w:r>
        <w:t xml:space="preserve"> - migration tooling from current AR-owned data only, with foreign-domain families excluded or rehomed.</w:t>
      </w:r>
    </w:p>
    <w:p>
      <w:pPr>
        <w:pStyle w:val="Heading1"/>
      </w:pPr>
      <w:r>
        <w:t>23. Acceptance tests for the final data map</w:t>
      </w:r>
    </w:p>
    <w:p>
      <w:pPr/>
      <w:r>
        <w:t>A target schema is only useful if it passes operational tests that match the real product vision.</w:t>
      </w:r>
    </w:p>
    <w:p>
      <w:pPr>
        <w:ind w:left="259" w:hanging="259"/>
      </w:pPr>
      <w:r>
        <w:rPr>
          <w:b/>
        </w:rPr>
        <w:t xml:space="preserve">• </w:t>
      </w:r>
      <w:r>
        <w:rPr>
          <w:b/>
        </w:rPr>
        <w:t>Can one story feed three levels?</w:t>
      </w:r>
      <w:r>
        <w:t xml:space="preserve"> - Yes - one material item should produce different segments and packets for early, guided, and independent learners.</w:t>
      </w:r>
    </w:p>
    <w:p>
      <w:pPr>
        <w:ind w:left="259" w:hanging="259"/>
      </w:pPr>
      <w:r>
        <w:rPr>
          <w:b/>
        </w:rPr>
        <w:t xml:space="preserve">• </w:t>
      </w:r>
      <w:r>
        <w:rPr>
          <w:b/>
        </w:rPr>
        <w:t>Can one learner hold different skill levels?</w:t>
      </w:r>
      <w:r>
        <w:t xml:space="preserve"> - Yes - reading, listening, grammar, and speaking should diverge without schema awkwardness.</w:t>
      </w:r>
    </w:p>
    <w:p>
      <w:pPr>
        <w:ind w:left="259" w:hanging="259"/>
      </w:pPr>
      <w:r>
        <w:rPr>
          <w:b/>
        </w:rPr>
        <w:t xml:space="preserve">• </w:t>
      </w:r>
      <w:r>
        <w:rPr>
          <w:b/>
        </w:rPr>
        <w:t>Can one packet feed the app and the deep-study screen?</w:t>
      </w:r>
      <w:r>
        <w:t xml:space="preserve"> - Yes - downstream app packets should project from canonical packet truth.</w:t>
      </w:r>
    </w:p>
    <w:p>
      <w:pPr>
        <w:ind w:left="259" w:hanging="259"/>
      </w:pPr>
      <w:r>
        <w:rPr>
          <w:b/>
        </w:rPr>
        <w:t xml:space="preserve">• </w:t>
      </w:r>
      <w:r>
        <w:rPr>
          <w:b/>
        </w:rPr>
        <w:t>Can Classical and MSA stay separate but bridgeable?</w:t>
      </w:r>
      <w:r>
        <w:t xml:space="preserve"> - Yes - track-aware tables and bridge content should allow both separation and transfer.</w:t>
      </w:r>
    </w:p>
    <w:p>
      <w:pPr>
        <w:ind w:left="259" w:hanging="259"/>
      </w:pPr>
      <w:r>
        <w:rPr>
          <w:b/>
        </w:rPr>
        <w:t xml:space="preserve">• </w:t>
      </w:r>
      <w:r>
        <w:rPr>
          <w:b/>
        </w:rPr>
        <w:t>Can the database hold poetry, adab, songs, drama, and stories cleanly?</w:t>
      </w:r>
      <w:r>
        <w:t xml:space="preserve"> - Yes - material types and special profiles should make these classes first-class rather than document blobs.</w:t>
      </w:r>
    </w:p>
    <w:p>
      <w:pPr>
        <w:ind w:left="259" w:hanging="259"/>
      </w:pPr>
      <w:r>
        <w:rPr>
          <w:b/>
        </w:rPr>
        <w:t xml:space="preserve">• </w:t>
      </w:r>
      <w:r>
        <w:rPr>
          <w:b/>
        </w:rPr>
        <w:t>Can the module remain modular in the larger platform?</w:t>
      </w:r>
      <w:r>
        <w:t xml:space="preserve"> - Yes - AR owns acquisition and links outward to AL, QR, CM, PL, and CORE by typed refs.</w:t>
      </w:r>
    </w:p>
    <w:p>
      <w:pPr>
        <w:pStyle w:val="Heading1"/>
      </w:pPr>
      <w:r>
        <w:t>Appendix A. Suggested seed registries</w:t>
      </w:r>
    </w:p>
    <w:tbl>
      <w:tblPr>
        <w:tblStyle w:val="TableGrid"/>
        <w:tblW w:type="auto" w:w="0"/>
        <w:jc w:val="center"/>
        <w:tblLayout w:type="fixed"/>
        <w:tblLook w:firstColumn="1" w:firstRow="1" w:lastColumn="0" w:lastRow="0" w:noHBand="0" w:noVBand="1" w:val="04A0"/>
      </w:tblPr>
      <w:tblGrid>
        <w:gridCol w:w="4896"/>
        <w:gridCol w:w="4896"/>
      </w:tblGrid>
      <w:tr>
        <w:tc>
          <w:tcPr>
            <w:tcW w:type="dxa" w:w="2448"/>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Registry</w:t>
            </w:r>
          </w:p>
        </w:tc>
        <w:tc>
          <w:tcPr>
            <w:tcW w:type="dxa" w:w="7848"/>
            <w:vAlign w:val="center"/>
            <w:tcMar>
              <w:top w:w="90" w:type="dxa"/>
              <w:start w:w="110" w:type="dxa"/>
              <w:bottom w:w="90" w:type="dxa"/>
              <w:end w:w="110" w:type="dxa"/>
            </w:tcMar>
            <w:shd w:fill="0E7490"/>
          </w:tcPr>
          <w:p>
            <w:pPr>
              <w:spacing w:after="40" w:before="20" w:line="264" w:lineRule="auto"/>
              <w:jc w:val="center"/>
            </w:pPr>
            <w:r>
              <w:rPr>
                <w:rFonts w:ascii="Arial" w:hAnsi="Arial"/>
                <w:b/>
                <w:color w:val="FFFFFF"/>
                <w:sz w:val="18"/>
              </w:rPr>
              <w:t>Recommended initial values</w:t>
            </w:r>
          </w:p>
        </w:tc>
      </w:tr>
      <w:tr>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Tracks</w:t>
            </w:r>
          </w:p>
        </w:tc>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MSA, Classical, blended</w:t>
            </w:r>
          </w:p>
        </w:tc>
      </w:tr>
      <w:tr>
        <w:tc>
          <w:tcPr>
            <w:tcW w:type="dxa" w:w="4896"/>
            <w:vAlign w:val="center"/>
            <w:tcMar>
              <w:top w:w="90" w:type="dxa"/>
              <w:start w:w="110" w:type="dxa"/>
              <w:bottom w:w="90" w:type="dxa"/>
              <w:end w:w="110" w:type="dxa"/>
            </w:tcMar>
          </w:tcPr>
          <w:p>
            <w:pPr>
              <w:spacing w:after="40" w:before="20" w:line="264" w:lineRule="auto"/>
            </w:pPr>
            <w:r>
              <w:rPr>
                <w:rFonts w:ascii="Arial" w:hAnsi="Arial"/>
                <w:sz w:val="18"/>
              </w:rPr>
              <w:t>Skill groups</w:t>
            </w:r>
          </w:p>
        </w:tc>
        <w:tc>
          <w:tcPr>
            <w:tcW w:type="dxa" w:w="4896"/>
            <w:vAlign w:val="center"/>
            <w:tcMar>
              <w:top w:w="90" w:type="dxa"/>
              <w:start w:w="110" w:type="dxa"/>
              <w:bottom w:w="90" w:type="dxa"/>
              <w:end w:w="110" w:type="dxa"/>
            </w:tcMar>
          </w:tcPr>
          <w:p>
            <w:pPr>
              <w:spacing w:after="40" w:before="20" w:line="264" w:lineRule="auto"/>
            </w:pPr>
            <w:r>
              <w:rPr>
                <w:rFonts w:ascii="Arial" w:hAnsi="Arial"/>
                <w:sz w:val="18"/>
              </w:rPr>
              <w:t>listening, speaking, reading, writing, vocabulary, grammar, comprehension, rhetoric</w:t>
            </w:r>
          </w:p>
        </w:tc>
      </w:tr>
      <w:tr>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Material types</w:t>
            </w:r>
          </w:p>
        </w:tc>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dialogue, story, poem, adab_excerpt, full_work, drama_script, song, lecture, article, reader, worksheet</w:t>
            </w:r>
          </w:p>
        </w:tc>
      </w:tr>
      <w:tr>
        <w:tc>
          <w:tcPr>
            <w:tcW w:type="dxa" w:w="4896"/>
            <w:vAlign w:val="center"/>
            <w:tcMar>
              <w:top w:w="90" w:type="dxa"/>
              <w:start w:w="110" w:type="dxa"/>
              <w:bottom w:w="90" w:type="dxa"/>
              <w:end w:w="110" w:type="dxa"/>
            </w:tcMar>
          </w:tcPr>
          <w:p>
            <w:pPr>
              <w:spacing w:after="40" w:before="20" w:line="264" w:lineRule="auto"/>
            </w:pPr>
            <w:r>
              <w:rPr>
                <w:rFonts w:ascii="Arial" w:hAnsi="Arial"/>
                <w:sz w:val="18"/>
              </w:rPr>
              <w:t>Packet types</w:t>
            </w:r>
          </w:p>
        </w:tc>
        <w:tc>
          <w:tcPr>
            <w:tcW w:type="dxa" w:w="4896"/>
            <w:vAlign w:val="center"/>
            <w:tcMar>
              <w:top w:w="90" w:type="dxa"/>
              <w:start w:w="110" w:type="dxa"/>
              <w:bottom w:w="90" w:type="dxa"/>
              <w:end w:w="110" w:type="dxa"/>
            </w:tcMar>
          </w:tcPr>
          <w:p>
            <w:pPr>
              <w:spacing w:after="40" w:before="20" w:line="264" w:lineRule="auto"/>
            </w:pPr>
            <w:r>
              <w:rPr>
                <w:rFonts w:ascii="Arial" w:hAnsi="Arial"/>
                <w:sz w:val="18"/>
              </w:rPr>
              <w:t>lesson_packet, scenario_packet, story_packet, poetry_packet, listening_packet, review_packet, app_packet</w:t>
            </w:r>
          </w:p>
        </w:tc>
      </w:tr>
      <w:tr>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Challenge types</w:t>
            </w:r>
          </w:p>
        </w:tc>
        <w:tc>
          <w:tcPr>
            <w:tcW w:type="dxa" w:w="4896"/>
            <w:vAlign w:val="center"/>
            <w:tcMar>
              <w:top w:w="90" w:type="dxa"/>
              <w:start w:w="110" w:type="dxa"/>
              <w:bottom w:w="90" w:type="dxa"/>
              <w:end w:w="110" w:type="dxa"/>
            </w:tcMar>
            <w:shd w:fill="FBFCFD"/>
          </w:tcPr>
          <w:p>
            <w:pPr>
              <w:spacing w:after="40" w:before="20" w:line="264" w:lineRule="auto"/>
            </w:pPr>
            <w:r>
              <w:rPr>
                <w:rFonts w:ascii="Arial" w:hAnsi="Arial"/>
                <w:sz w:val="18"/>
              </w:rPr>
              <w:t>match, reorder, dictate, select, short_answer, summarize, transform, translate, shadow, roleplay</w:t>
            </w:r>
          </w:p>
        </w:tc>
      </w:tr>
      <w:tr>
        <w:tc>
          <w:tcPr>
            <w:tcW w:type="dxa" w:w="4896"/>
            <w:vAlign w:val="center"/>
            <w:tcMar>
              <w:top w:w="90" w:type="dxa"/>
              <w:start w:w="110" w:type="dxa"/>
              <w:bottom w:w="90" w:type="dxa"/>
              <w:end w:w="110" w:type="dxa"/>
            </w:tcMar>
          </w:tcPr>
          <w:p>
            <w:pPr>
              <w:spacing w:after="40" w:before="20" w:line="264" w:lineRule="auto"/>
            </w:pPr>
            <w:r>
              <w:rPr>
                <w:rFonts w:ascii="Arial" w:hAnsi="Arial"/>
                <w:sz w:val="18"/>
              </w:rPr>
              <w:t>Visibility modes</w:t>
            </w:r>
          </w:p>
        </w:tc>
        <w:tc>
          <w:tcPr>
            <w:tcW w:type="dxa" w:w="4896"/>
            <w:vAlign w:val="center"/>
            <w:tcMar>
              <w:top w:w="90" w:type="dxa"/>
              <w:start w:w="110" w:type="dxa"/>
              <w:bottom w:w="90" w:type="dxa"/>
              <w:end w:w="110" w:type="dxa"/>
            </w:tcMar>
          </w:tcPr>
          <w:p>
            <w:pPr>
              <w:spacing w:after="40" w:before="20" w:line="264" w:lineRule="auto"/>
            </w:pPr>
            <w:r>
              <w:rPr>
                <w:rFonts w:ascii="Arial" w:hAnsi="Arial"/>
                <w:sz w:val="18"/>
              </w:rPr>
              <w:t>private, workspace, published</w:t>
            </w:r>
          </w:p>
        </w:tc>
      </w:tr>
    </w:tbl>
    <w:p/>
    <w:p>
      <w:pPr>
        <w:pStyle w:val="Heading1"/>
      </w:pPr>
      <w:r>
        <w:t>Appendix B. Migration stance from the current schema</w:t>
      </w:r>
    </w:p>
    <w:p>
      <w:r>
        <w:t>When migration begins, move only those current tables that truly represent AR-owned acquisition truth. Everything else should either be redesigned in place, rehomed to its correct module, or left behind entirely.</w:t>
      </w:r>
    </w:p>
    <w:p>
      <w:r>
        <w:t>The most important anti-pattern to avoid is carrying forward the current mixed ontology merely because data already exists. The target state should remain clear even if migration requires staging tables, ETL scripts, or temporary compatibility views.</w:t>
      </w:r>
    </w:p>
    <w:tbl>
      <w:tblPr>
        <w:tblW w:type="auto" w:w="0"/>
        <w:jc w:val="center"/>
        <w:tblLook w:firstColumn="1" w:firstRow="1" w:lastColumn="0" w:lastRow="0" w:noHBand="0" w:noVBand="1" w:val="04A0"/>
      </w:tblPr>
      <w:tblGrid>
        <w:gridCol w:w="9792"/>
      </w:tblGrid>
      <w:tr>
        <w:tc>
          <w:tcPr>
            <w:tcW w:type="dxa" w:w="9792"/>
            <w:shd w:fill="EAF2F8"/>
            <w:tcMar>
              <w:top w:w="120" w:type="dxa"/>
              <w:start w:w="130" w:type="dxa"/>
              <w:bottom w:w="120" w:type="dxa"/>
              <w:end w:w="130" w:type="dxa"/>
            </w:tcMar>
          </w:tcPr>
          <w:p>
            <w:pPr>
              <w:spacing w:after="0"/>
            </w:pPr>
            <w:r>
              <w:rPr>
                <w:rFonts w:ascii="Arial" w:hAnsi="Arial"/>
                <w:b/>
                <w:color w:val="1F4E79"/>
                <w:sz w:val="20"/>
              </w:rPr>
              <w:t xml:space="preserve">Migration reminder: </w:t>
            </w:r>
            <w:r>
              <w:rPr>
                <w:rFonts w:ascii="Arial" w:hAnsi="Arial"/>
                <w:sz w:val="20"/>
              </w:rPr>
              <w:t>Treat ar_containers / ar_container_units / ar_container_unit_task as transitional scaffolding unless a very clear and durable acquisition role can be proven for each concept.</w:t>
            </w:r>
          </w:p>
        </w:tc>
      </w:tr>
    </w:tbl>
    <w:p/>
    <w:sectPr w:rsidR="00FC693F" w:rsidRPr="0006063C" w:rsidSect="00034616">
      <w:headerReference w:type="default" r:id="rId9"/>
      <w:footerReference w:type="default" r:id="rId10"/>
      <w:pgSz w:w="12240" w:h="15840"/>
      <w:pgMar w:top="1008" w:right="1224" w:bottom="864" w:left="122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K-Maps vNext | km_arabic Data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E74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60" w:line="252" w:lineRule="auto"/>
    </w:pPr>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