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73B63"/>
          <w:sz w:val="50"/>
        </w:rPr>
        <w:t>KM-Arabic-Linguistic Philosophy and Doctrine</w:t>
      </w:r>
    </w:p>
    <w:p>
      <w:pPr>
        <w:pStyle w:val="Subtitle"/>
        <w:jc w:val="left"/>
      </w:pPr>
      <w:r>
        <w:t>Shared Arabic linguistic truth for Qur'an, Arabic acquisition, and future language-facing modules</w:t>
      </w:r>
    </w:p>
    <w:tbl>
      <w:tblPr>
        <w:tblW w:type="auto" w:w="0"/>
        <w:jc w:val="left"/>
        <w:tblLayout w:type="fixed"/>
        <w:tblLook w:firstColumn="1" w:firstRow="1" w:lastColumn="0" w:lastRow="0" w:noHBand="0" w:noVBand="1" w:val="04A0"/>
        <w:tblBorders>
          <w:top w:val="single" w:sz="8" w:space="0" w:color="90AFC6"/>
          <w:left w:val="single" w:sz="8" w:space="0" w:color="90AFC6"/>
          <w:bottom w:val="single" w:sz="8" w:space="0" w:color="90AFC6"/>
          <w:right w:val="single" w:sz="8" w:space="0" w:color="90AFC6"/>
          <w:insideH w:val="single" w:sz="8" w:space="0" w:color="90AFC6"/>
          <w:insideV w:val="single" w:sz="8" w:space="0" w:color="90AFC6"/>
        </w:tblBorders>
      </w:tblPr>
      <w:tblGrid>
        <w:gridCol w:w="9360"/>
      </w:tblGrid>
      <w:tr>
        <w:tc>
          <w:tcPr>
            <w:tcW w:type="dxa" w:w="9994"/>
            <w:shd w:fill="EEF4F8"/>
            <w:tcMar>
              <w:top w:w="140" w:type="dxa"/>
              <w:start w:w="160" w:type="dxa"/>
              <w:bottom w:w="140" w:type="dxa"/>
              <w:end w:w="160" w:type="dxa"/>
            </w:tcMar>
          </w:tcPr>
          <w:p>
            <w:pPr>
              <w:spacing w:before="0"/>
              <w:ind w:left="259" w:hanging="259"/>
            </w:pPr>
            <w:r>
              <w:rPr>
                <w:b/>
                <w:color w:val="1F567A"/>
              </w:rPr>
              <w:t xml:space="preserve">• </w:t>
            </w:r>
            <w:r>
              <w:t>This document reframes the shared language module as km_arabic_linguistic: a first-class owner of Arabic linguistic truth rather than a narrow lexicon bucket or a hidden sub-layer inside pedagogy.</w:t>
            </w:r>
          </w:p>
          <w:p>
            <w:pPr>
              <w:ind w:left="259" w:hanging="259"/>
            </w:pPr>
            <w:r>
              <w:rPr>
                <w:b/>
                <w:color w:val="1F567A"/>
              </w:rPr>
              <w:t xml:space="preserve">• </w:t>
            </w:r>
            <w:r>
              <w:t>It separates canonical linguistic knowledge from learner-facing delivery. Qur'anic analysis, Arabic pedagogy, and worldview comparison may all consume this module, but none of them should absorb its semantic ownership.</w:t>
            </w:r>
          </w:p>
          <w:p>
            <w:pPr>
              <w:ind w:left="259" w:hanging="259"/>
            </w:pPr>
            <w:r>
              <w:rPr>
                <w:b/>
                <w:color w:val="1F567A"/>
              </w:rPr>
              <w:t xml:space="preserve">• </w:t>
            </w:r>
            <w:r>
              <w:t>The module is designed around roots, lemmas, morphology, sarf, nahw, balagha, lexicon, expressions, sources, and evidence-backed linguistic relations across Classical Arabic and MSA.</w:t>
            </w:r>
          </w:p>
        </w:tc>
      </w:tr>
    </w:tbl>
    <w:p/>
    <w:tbl>
      <w:tblPr>
        <w:tblW w:type="auto" w:w="0"/>
        <w:jc w:val="left"/>
        <w:tblLayout w:type="fixed"/>
        <w:tblLook w:firstColumn="1" w:firstRow="1" w:lastColumn="0" w:lastRow="0" w:noHBand="0" w:noVBand="1" w:val="04A0"/>
        <w:tblBorders>
          <w:top w:val="single" w:sz="6" w:space="0" w:color="D5E0E9"/>
          <w:left w:val="single" w:sz="6" w:space="0" w:color="D5E0E9"/>
          <w:bottom w:val="single" w:sz="6" w:space="0" w:color="D5E0E9"/>
          <w:right w:val="single" w:sz="6" w:space="0" w:color="D5E0E9"/>
          <w:insideH w:val="single" w:sz="6" w:space="0" w:color="D5E0E9"/>
          <w:insideV w:val="single" w:sz="6" w:space="0" w:color="D5E0E9"/>
        </w:tblBorders>
      </w:tblPr>
      <w:tblGrid>
        <w:gridCol w:w="2592"/>
        <w:gridCol w:w="6768"/>
      </w:tblGrid>
      <w:tr>
        <w:tc>
          <w:tcPr>
            <w:tcW w:type="dxa" w:w="4997"/>
            <w:tcMar>
              <w:top w:w="100" w:type="dxa"/>
              <w:start w:w="120" w:type="dxa"/>
              <w:bottom w:w="100" w:type="dxa"/>
              <w:end w:w="120" w:type="dxa"/>
            </w:tcMar>
            <w:shd w:fill="F4F7FA"/>
            <w:vAlign w:val="center"/>
          </w:tcPr>
          <w:p>
            <w:pPr/>
            <w:r/>
            <w:r>
              <w:rPr>
                <w:b/>
              </w:rPr>
              <w:t>Scope</w:t>
            </w:r>
          </w:p>
        </w:tc>
        <w:tc>
          <w:tcPr>
            <w:tcW w:type="dxa" w:w="4997"/>
            <w:tcMar>
              <w:top w:w="100" w:type="dxa"/>
              <w:start w:w="120" w:type="dxa"/>
              <w:bottom w:w="100" w:type="dxa"/>
              <w:end w:w="120" w:type="dxa"/>
            </w:tcMar>
            <w:vAlign w:val="center"/>
          </w:tcPr>
          <w:p>
            <w:pPr/>
            <w:r/>
            <w:r>
              <w:t>km_arabic_linguistic only / shared linguistic-truth module</w:t>
            </w:r>
          </w:p>
        </w:tc>
      </w:tr>
      <w:tr>
        <w:tc>
          <w:tcPr>
            <w:tcW w:type="dxa" w:w="4997"/>
            <w:tcMar>
              <w:top w:w="100" w:type="dxa"/>
              <w:start w:w="120" w:type="dxa"/>
              <w:bottom w:w="100" w:type="dxa"/>
              <w:end w:w="120" w:type="dxa"/>
            </w:tcMar>
            <w:shd w:fill="F4F7FA"/>
            <w:vAlign w:val="center"/>
          </w:tcPr>
          <w:p>
            <w:pPr/>
            <w:r/>
            <w:r>
              <w:rPr>
                <w:b/>
              </w:rPr>
              <w:t>Position</w:t>
            </w:r>
          </w:p>
        </w:tc>
        <w:tc>
          <w:tcPr>
            <w:tcW w:type="dxa" w:w="4997"/>
            <w:tcMar>
              <w:top w:w="100" w:type="dxa"/>
              <w:start w:w="120" w:type="dxa"/>
              <w:bottom w:w="100" w:type="dxa"/>
              <w:end w:w="120" w:type="dxa"/>
            </w:tcMar>
            <w:vAlign w:val="center"/>
          </w:tcPr>
          <w:p>
            <w:pPr/>
            <w:r/>
            <w:r>
              <w:t>Deeper architecture and doctrine replacing the narrower km_lexicon framing</w:t>
            </w:r>
          </w:p>
        </w:tc>
      </w:tr>
      <w:tr>
        <w:tc>
          <w:tcPr>
            <w:tcW w:type="dxa" w:w="4997"/>
            <w:tcMar>
              <w:top w:w="100" w:type="dxa"/>
              <w:start w:w="120" w:type="dxa"/>
              <w:bottom w:w="100" w:type="dxa"/>
              <w:end w:w="120" w:type="dxa"/>
            </w:tcMar>
            <w:shd w:fill="F4F7FA"/>
            <w:vAlign w:val="center"/>
          </w:tcPr>
          <w:p>
            <w:pPr/>
            <w:r/>
            <w:r>
              <w:rPr>
                <w:b/>
              </w:rPr>
              <w:t>Date</w:t>
            </w:r>
          </w:p>
        </w:tc>
        <w:tc>
          <w:tcPr>
            <w:tcW w:type="dxa" w:w="4997"/>
            <w:tcMar>
              <w:top w:w="100" w:type="dxa"/>
              <w:start w:w="120" w:type="dxa"/>
              <w:bottom w:w="100" w:type="dxa"/>
              <w:end w:w="120" w:type="dxa"/>
            </w:tcMar>
            <w:vAlign w:val="center"/>
          </w:tcPr>
          <w:p>
            <w:pPr/>
            <w:r/>
            <w:r>
              <w:t>18 April 2026</w:t>
            </w:r>
          </w:p>
        </w:tc>
      </w:tr>
    </w:tbl>
    <w:p>
      <w:r>
        <w:br w:type="page"/>
      </w:r>
    </w:p>
    <w:p>
      <w:pPr>
        <w:pStyle w:val="Heading1"/>
        <w:keepNext/>
      </w:pPr>
      <w:r>
        <w:t>1. Final position</w:t>
      </w:r>
    </w:p>
    <w:p>
      <w:pPr/>
      <w:r>
        <w:t>km_arabic_linguistic is the shared Arabic linguistic truth layer of the platform. It exists so that the system can store Arabic language knowledge once, evidence it once, normalize it once, and reuse it across Qur'an analysis, Arabic acquisition, content authoring, search, and future app surfaces without duplicating or distorting that knowledge.</w:t>
      </w:r>
    </w:p>
    <w:p>
      <w:pPr/>
      <w:r>
        <w:t>The central correction is conceptual: this module is not a lesson engine, not a Duolingo surface, and not merely a lexicon. It is the canonical owner of Arabic linguistic structure.</w:t>
      </w:r>
    </w:p>
    <w:p>
      <w:pPr>
        <w:ind w:left="317" w:hanging="259"/>
      </w:pPr>
      <w:r>
        <w:rPr>
          <w:b/>
          <w:color w:val="1F567A"/>
        </w:rPr>
        <w:t xml:space="preserve">• </w:t>
      </w:r>
      <w:r>
        <w:rPr>
          <w:b/>
        </w:rPr>
        <w:t xml:space="preserve">It owns </w:t>
      </w:r>
      <w:r>
        <w:t>roots, lemmas, morphology, sarf patterns, nahw concepts, balagha registries, lexicon entries, expression families, and linguistic sources.</w:t>
      </w:r>
    </w:p>
    <w:p>
      <w:pPr>
        <w:ind w:left="317" w:hanging="259"/>
      </w:pPr>
      <w:r>
        <w:rPr>
          <w:b/>
          <w:color w:val="1F567A"/>
        </w:rPr>
        <w:t xml:space="preserve">• </w:t>
      </w:r>
      <w:r>
        <w:rPr>
          <w:b/>
        </w:rPr>
        <w:t xml:space="preserve">It feeds </w:t>
      </w:r>
      <w:r>
        <w:t>km_quran, km_arabic, shared content authoring, and any app-facing learning layer that needs structured text, audio links, difficulty gradation, or linguistic explanation.</w:t>
      </w:r>
    </w:p>
    <w:p>
      <w:pPr>
        <w:ind w:left="317" w:hanging="259"/>
      </w:pPr>
      <w:r>
        <w:rPr>
          <w:b/>
          <w:color w:val="1F567A"/>
        </w:rPr>
        <w:t xml:space="preserve">• </w:t>
      </w:r>
      <w:r>
        <w:rPr>
          <w:b/>
        </w:rPr>
        <w:t xml:space="preserve">It should remain </w:t>
      </w:r>
      <w:r>
        <w:t>shared and domain-stable, rather than being re-authored separately by the Qur'an module, the pedagogy module, or ad hoc JSON payloads.</w:t>
      </w:r>
    </w:p>
    <w:p>
      <w:pPr>
        <w:pStyle w:val="Heading1"/>
        <w:keepNext/>
      </w:pPr>
      <w:r>
        <w:t>2. Why this module must be shared</w:t>
      </w:r>
    </w:p>
    <w:p>
      <w:pPr/>
      <w:r>
        <w:t>Arabic linguistic truth is upstream of both interpretation and pedagogy. A root does not become a different root when it is used in Qur'anic analysis rather than in an Arabic lesson. A lemma, a pattern, a syntactic function, or a rhetorical device should not have separate competing owners.</w:t>
      </w:r>
    </w:p>
    <w:tbl>
      <w:tblPr>
        <w:tblW w:type="auto" w:w="0"/>
        <w:jc w:val="left"/>
        <w:tblLayout w:type="fixed"/>
        <w:tblLook w:firstColumn="1" w:firstRow="1" w:lastColumn="0" w:lastRow="0" w:noHBand="0" w:noVBand="1" w:val="04A0"/>
        <w:tblBorders>
          <w:top w:val="single" w:sz="6" w:space="0" w:color="B8CBD9"/>
          <w:left w:val="single" w:sz="6" w:space="0" w:color="B8CBD9"/>
          <w:bottom w:val="single" w:sz="6" w:space="0" w:color="B8CBD9"/>
          <w:right w:val="single" w:sz="6" w:space="0" w:color="B8CBD9"/>
          <w:insideH w:val="single" w:sz="6" w:space="0" w:color="B8CBD9"/>
          <w:insideV w:val="single" w:sz="6" w:space="0" w:color="B8CBD9"/>
        </w:tblBorders>
      </w:tblPr>
      <w:tblGrid>
        <w:gridCol w:w="3168"/>
        <w:gridCol w:w="2016"/>
        <w:gridCol w:w="4176"/>
      </w:tblGrid>
      <w:tr>
        <w:trPr>
          <w:tblHeader w:val="true"/>
          <w:cantSplit/>
        </w:trPr>
        <w:tc>
          <w:tcPr>
            <w:tcW w:type="dxa" w:w="3331"/>
            <w:shd w:fill="DDEAF3"/>
            <w:tcMar>
              <w:top w:w="110" w:type="dxa"/>
              <w:start w:w="120" w:type="dxa"/>
              <w:bottom w:w="110" w:type="dxa"/>
              <w:end w:w="120" w:type="dxa"/>
            </w:tcMar>
            <w:vAlign w:val="center"/>
          </w:tcPr>
          <w:p>
            <w:pPr>
              <w:jc w:val="center"/>
            </w:pPr>
            <w:r>
              <w:rPr>
                <w:b/>
                <w:color w:val="173B63"/>
              </w:rPr>
              <w:t>Question</w:t>
            </w:r>
          </w:p>
        </w:tc>
        <w:tc>
          <w:tcPr>
            <w:tcW w:type="dxa" w:w="3331"/>
            <w:shd w:fill="DDEAF3"/>
            <w:tcMar>
              <w:top w:w="110" w:type="dxa"/>
              <w:start w:w="120" w:type="dxa"/>
              <w:bottom w:w="110" w:type="dxa"/>
              <w:end w:w="120" w:type="dxa"/>
            </w:tcMar>
            <w:vAlign w:val="center"/>
          </w:tcPr>
          <w:p>
            <w:pPr>
              <w:jc w:val="center"/>
            </w:pPr>
            <w:r>
              <w:rPr>
                <w:b/>
                <w:color w:val="173B63"/>
              </w:rPr>
              <w:t>Correct owner</w:t>
            </w:r>
          </w:p>
        </w:tc>
        <w:tc>
          <w:tcPr>
            <w:tcW w:type="dxa" w:w="3331"/>
            <w:shd w:fill="DDEAF3"/>
            <w:tcMar>
              <w:top w:w="110" w:type="dxa"/>
              <w:start w:w="120" w:type="dxa"/>
              <w:bottom w:w="110" w:type="dxa"/>
              <w:end w:w="120" w:type="dxa"/>
            </w:tcMar>
            <w:vAlign w:val="center"/>
          </w:tcPr>
          <w:p>
            <w:pPr>
              <w:jc w:val="center"/>
            </w:pPr>
            <w:r>
              <w:rPr>
                <w:b/>
                <w:color w:val="173B63"/>
              </w:rPr>
              <w:t>Why</w:t>
            </w:r>
          </w:p>
        </w:tc>
      </w:tr>
      <w:tr>
        <w:trPr>
          <w:cantSplit/>
        </w:trPr>
        <w:tc>
          <w:tcPr>
            <w:tcW w:type="dxa" w:w="3168"/>
            <w:tcMar>
              <w:top w:w="90" w:type="dxa"/>
              <w:start w:w="110" w:type="dxa"/>
              <w:bottom w:w="90" w:type="dxa"/>
              <w:end w:w="110" w:type="dxa"/>
            </w:tcMar>
            <w:vAlign w:val="center"/>
          </w:tcPr>
          <w:p>
            <w:pPr>
              <w:spacing w:after="40"/>
              <w:jc w:val="left"/>
            </w:pPr>
            <w:r>
              <w:t>Who owns roots, lemmas, morphology, and linguistic source evidence?</w:t>
            </w:r>
          </w:p>
        </w:tc>
        <w:tc>
          <w:tcPr>
            <w:tcW w:type="dxa" w:w="2016"/>
            <w:tcMar>
              <w:top w:w="90" w:type="dxa"/>
              <w:start w:w="110" w:type="dxa"/>
              <w:bottom w:w="90" w:type="dxa"/>
              <w:end w:w="110" w:type="dxa"/>
            </w:tcMar>
            <w:vAlign w:val="center"/>
          </w:tcPr>
          <w:p>
            <w:pPr>
              <w:spacing w:after="40"/>
              <w:jc w:val="left"/>
            </w:pPr>
            <w:r>
              <w:t>km_arabic_linguistic</w:t>
            </w:r>
          </w:p>
        </w:tc>
        <w:tc>
          <w:tcPr>
            <w:tcW w:type="dxa" w:w="4176"/>
            <w:tcMar>
              <w:top w:w="90" w:type="dxa"/>
              <w:start w:w="110" w:type="dxa"/>
              <w:bottom w:w="90" w:type="dxa"/>
              <w:end w:w="110" w:type="dxa"/>
            </w:tcMar>
            <w:vAlign w:val="center"/>
          </w:tcPr>
          <w:p>
            <w:pPr>
              <w:spacing w:after="40"/>
              <w:jc w:val="left"/>
            </w:pPr>
            <w:r>
              <w:t>They are reusable truths needed by multiple modules.</w:t>
            </w:r>
          </w:p>
        </w:tc>
      </w:tr>
      <w:tr>
        <w:trPr>
          <w:cantSplit/>
        </w:trPr>
        <w:tc>
          <w:tcPr>
            <w:tcW w:type="dxa" w:w="3168"/>
            <w:tcMar>
              <w:top w:w="90" w:type="dxa"/>
              <w:start w:w="110" w:type="dxa"/>
              <w:bottom w:w="90" w:type="dxa"/>
              <w:end w:w="110" w:type="dxa"/>
            </w:tcMar>
            <w:vAlign w:val="center"/>
          </w:tcPr>
          <w:p>
            <w:pPr>
              <w:spacing w:after="40"/>
              <w:jc w:val="left"/>
            </w:pPr>
            <w:r>
              <w:t>Who owns learner progression, classes, SRS, practice flows, and app delivery packets?</w:t>
            </w:r>
          </w:p>
        </w:tc>
        <w:tc>
          <w:tcPr>
            <w:tcW w:type="dxa" w:w="2016"/>
            <w:tcMar>
              <w:top w:w="90" w:type="dxa"/>
              <w:start w:w="110" w:type="dxa"/>
              <w:bottom w:w="90" w:type="dxa"/>
              <w:end w:w="110" w:type="dxa"/>
            </w:tcMar>
            <w:vAlign w:val="center"/>
          </w:tcPr>
          <w:p>
            <w:pPr>
              <w:spacing w:after="40"/>
              <w:jc w:val="left"/>
            </w:pPr>
            <w:r>
              <w:t>km_arabic</w:t>
            </w:r>
          </w:p>
        </w:tc>
        <w:tc>
          <w:tcPr>
            <w:tcW w:type="dxa" w:w="4176"/>
            <w:tcMar>
              <w:top w:w="90" w:type="dxa"/>
              <w:start w:w="110" w:type="dxa"/>
              <w:bottom w:w="90" w:type="dxa"/>
              <w:end w:w="110" w:type="dxa"/>
            </w:tcMar>
            <w:vAlign w:val="center"/>
          </w:tcPr>
          <w:p>
            <w:pPr>
              <w:spacing w:after="40"/>
              <w:jc w:val="left"/>
            </w:pPr>
            <w:r>
              <w:t>Those are pedagogical and operational surfaces, not language-truth registries.</w:t>
            </w:r>
          </w:p>
        </w:tc>
      </w:tr>
      <w:tr>
        <w:trPr>
          <w:cantSplit/>
        </w:trPr>
        <w:tc>
          <w:tcPr>
            <w:tcW w:type="dxa" w:w="3168"/>
            <w:tcMar>
              <w:top w:w="90" w:type="dxa"/>
              <w:start w:w="110" w:type="dxa"/>
              <w:bottom w:w="90" w:type="dxa"/>
              <w:end w:w="110" w:type="dxa"/>
            </w:tcMar>
            <w:vAlign w:val="center"/>
          </w:tcPr>
          <w:p>
            <w:pPr>
              <w:spacing w:after="40"/>
              <w:jc w:val="left"/>
            </w:pPr>
            <w:r>
              <w:t>Who owns Qur'anic semantic claims, surah structure, and interpretation?</w:t>
            </w:r>
          </w:p>
        </w:tc>
        <w:tc>
          <w:tcPr>
            <w:tcW w:type="dxa" w:w="2016"/>
            <w:tcMar>
              <w:top w:w="90" w:type="dxa"/>
              <w:start w:w="110" w:type="dxa"/>
              <w:bottom w:w="90" w:type="dxa"/>
              <w:end w:w="110" w:type="dxa"/>
            </w:tcMar>
            <w:vAlign w:val="center"/>
          </w:tcPr>
          <w:p>
            <w:pPr>
              <w:spacing w:after="40"/>
              <w:jc w:val="left"/>
            </w:pPr>
            <w:r>
              <w:t>km_quran</w:t>
            </w:r>
          </w:p>
        </w:tc>
        <w:tc>
          <w:tcPr>
            <w:tcW w:type="dxa" w:w="4176"/>
            <w:tcMar>
              <w:top w:w="90" w:type="dxa"/>
              <w:start w:w="110" w:type="dxa"/>
              <w:bottom w:w="90" w:type="dxa"/>
              <w:end w:w="110" w:type="dxa"/>
            </w:tcMar>
            <w:vAlign w:val="center"/>
          </w:tcPr>
          <w:p>
            <w:pPr>
              <w:spacing w:after="40"/>
              <w:jc w:val="left"/>
            </w:pPr>
            <w:r>
              <w:t>Interpretive meaning is downstream of linguistic truth, not identical to it.</w:t>
            </w:r>
          </w:p>
        </w:tc>
      </w:tr>
      <w:tr>
        <w:trPr>
          <w:cantSplit/>
        </w:trPr>
        <w:tc>
          <w:tcPr>
            <w:tcW w:type="dxa" w:w="3168"/>
            <w:tcMar>
              <w:top w:w="90" w:type="dxa"/>
              <w:start w:w="110" w:type="dxa"/>
              <w:bottom w:w="90" w:type="dxa"/>
              <w:end w:w="110" w:type="dxa"/>
            </w:tcMar>
            <w:vAlign w:val="center"/>
          </w:tcPr>
          <w:p>
            <w:pPr>
              <w:spacing w:after="40"/>
              <w:jc w:val="left"/>
            </w:pPr>
            <w:r>
              <w:t>Who owns shared authored documents and notes?</w:t>
            </w:r>
          </w:p>
        </w:tc>
        <w:tc>
          <w:tcPr>
            <w:tcW w:type="dxa" w:w="2016"/>
            <w:tcMar>
              <w:top w:w="90" w:type="dxa"/>
              <w:start w:w="110" w:type="dxa"/>
              <w:bottom w:w="90" w:type="dxa"/>
              <w:end w:w="110" w:type="dxa"/>
            </w:tcMar>
            <w:vAlign w:val="center"/>
          </w:tcPr>
          <w:p>
            <w:pPr>
              <w:spacing w:after="40"/>
              <w:jc w:val="left"/>
            </w:pPr>
            <w:r>
              <w:t>km_content</w:t>
            </w:r>
          </w:p>
        </w:tc>
        <w:tc>
          <w:tcPr>
            <w:tcW w:type="dxa" w:w="4176"/>
            <w:tcMar>
              <w:top w:w="90" w:type="dxa"/>
              <w:start w:w="110" w:type="dxa"/>
              <w:bottom w:w="90" w:type="dxa"/>
              <w:end w:w="110" w:type="dxa"/>
            </w:tcMar>
            <w:vAlign w:val="center"/>
          </w:tcPr>
          <w:p>
            <w:pPr>
              <w:spacing w:after="40"/>
              <w:jc w:val="left"/>
            </w:pPr>
            <w:r>
              <w:t>Documents are artifacts; they are not the same as language knowledge.</w:t>
            </w:r>
          </w:p>
        </w:tc>
      </w:tr>
    </w:tbl>
    <w:p>
      <w:pPr/>
      <w:r>
        <w:t>This shared-ownership posture is also what keeps the wider architecture modular: the language layer can deepen without forcing rework in Qur'an, Arabic pedagogy, or planner logic.</w:t>
      </w:r>
    </w:p>
    <w:p>
      <w:pPr>
        <w:pStyle w:val="Heading1"/>
        <w:keepNext/>
      </w:pPr>
      <w:r>
        <w:t>3. Module doctrine</w:t>
      </w:r>
    </w:p>
    <w:p>
      <w:pPr>
        <w:ind w:left="317" w:hanging="259"/>
      </w:pPr>
      <w:r>
        <w:rPr>
          <w:b/>
          <w:color w:val="1F567A"/>
        </w:rPr>
        <w:t xml:space="preserve">• </w:t>
      </w:r>
      <w:r>
        <w:rPr>
          <w:b/>
        </w:rPr>
        <w:t xml:space="preserve">Evidence before convenience. </w:t>
      </w:r>
      <w:r>
        <w:t>Stable linguistic meaning should be normalized and sourced rather than trapped inside opaque blobs, lesson JSON, or one-off annotations.</w:t>
      </w:r>
    </w:p>
    <w:p>
      <w:pPr>
        <w:ind w:left="317" w:hanging="259"/>
      </w:pPr>
      <w:r>
        <w:rPr>
          <w:b/>
          <w:color w:val="1F567A"/>
        </w:rPr>
        <w:t xml:space="preserve">• </w:t>
      </w:r>
      <w:r>
        <w:rPr>
          <w:b/>
        </w:rPr>
        <w:t xml:space="preserve">Discipline-aware modeling. </w:t>
      </w:r>
      <w:r>
        <w:t>Sarf, nahw, balagha, lexicon, and expressions are different kinds of knowledge and should not be flattened into one generic 'grammar' bucket.</w:t>
      </w:r>
    </w:p>
    <w:p>
      <w:pPr>
        <w:ind w:left="317" w:hanging="259"/>
      </w:pPr>
      <w:r>
        <w:rPr>
          <w:b/>
          <w:color w:val="1F567A"/>
        </w:rPr>
        <w:t xml:space="preserve">• </w:t>
      </w:r>
      <w:r>
        <w:rPr>
          <w:b/>
        </w:rPr>
        <w:t xml:space="preserve">Register-aware reuse. </w:t>
      </w:r>
      <w:r>
        <w:t>The module should support Qur'anic Arabic, broader Classical Arabic, and MSA through shared registries plus register tags and evidence scopes.</w:t>
      </w:r>
    </w:p>
    <w:p>
      <w:pPr>
        <w:ind w:left="317" w:hanging="259"/>
      </w:pPr>
      <w:r>
        <w:rPr>
          <w:b/>
          <w:color w:val="1F567A"/>
        </w:rPr>
        <w:t xml:space="preserve">• </w:t>
      </w:r>
      <w:r>
        <w:rPr>
          <w:b/>
        </w:rPr>
        <w:t xml:space="preserve">Consumer neutrality. </w:t>
      </w:r>
      <w:r>
        <w:t>The same linguistic truth must be usable by Qur'an analysis, Arabic pedagogy, authoring tools, and app delivery modules.</w:t>
      </w:r>
    </w:p>
    <w:p>
      <w:pPr>
        <w:ind w:left="317" w:hanging="259"/>
      </w:pPr>
      <w:r>
        <w:rPr>
          <w:b/>
          <w:color w:val="1F567A"/>
        </w:rPr>
        <w:t xml:space="preserve">• </w:t>
      </w:r>
      <w:r>
        <w:rPr>
          <w:b/>
        </w:rPr>
        <w:t xml:space="preserve">Typed links instead of semantic leakage. </w:t>
      </w:r>
      <w:r>
        <w:t>External modules point to linguistic rows through durable refs and bridge tables instead of re-owning the same concepts.</w:t>
      </w:r>
    </w:p>
    <w:p>
      <w:pPr>
        <w:pStyle w:val="Heading1"/>
        <w:keepNext/>
      </w:pPr>
      <w:r>
        <w:t>4. What the module really contains</w:t>
      </w:r>
    </w:p>
    <w:p>
      <w:pPr/>
      <w:r>
        <w:t>The module should be thought of as a layered linguistic system rather than a single dictionary table. Each layer answers a different class of question.</w:t>
      </w:r>
    </w:p>
    <w:tbl>
      <w:tblPr>
        <w:tblW w:type="auto" w:w="0"/>
        <w:jc w:val="left"/>
        <w:tblLayout w:type="fixed"/>
        <w:tblLook w:firstColumn="1" w:firstRow="1" w:lastColumn="0" w:lastRow="0" w:noHBand="0" w:noVBand="1" w:val="04A0"/>
        <w:tblBorders>
          <w:top w:val="single" w:sz="6" w:space="0" w:color="B8CBD9"/>
          <w:left w:val="single" w:sz="6" w:space="0" w:color="B8CBD9"/>
          <w:bottom w:val="single" w:sz="6" w:space="0" w:color="B8CBD9"/>
          <w:right w:val="single" w:sz="6" w:space="0" w:color="B8CBD9"/>
          <w:insideH w:val="single" w:sz="6" w:space="0" w:color="B8CBD9"/>
          <w:insideV w:val="single" w:sz="6" w:space="0" w:color="B8CBD9"/>
        </w:tblBorders>
      </w:tblPr>
      <w:tblGrid>
        <w:gridCol w:w="1728"/>
        <w:gridCol w:w="2880"/>
        <w:gridCol w:w="4608"/>
      </w:tblGrid>
      <w:tr>
        <w:trPr>
          <w:tblHeader w:val="true"/>
          <w:cantSplit/>
        </w:trPr>
        <w:tc>
          <w:tcPr>
            <w:tcW w:type="dxa" w:w="3331"/>
            <w:shd w:fill="DDEAF3"/>
            <w:tcMar>
              <w:top w:w="110" w:type="dxa"/>
              <w:start w:w="120" w:type="dxa"/>
              <w:bottom w:w="110" w:type="dxa"/>
              <w:end w:w="120" w:type="dxa"/>
            </w:tcMar>
            <w:vAlign w:val="center"/>
          </w:tcPr>
          <w:p>
            <w:pPr>
              <w:jc w:val="center"/>
            </w:pPr>
            <w:r>
              <w:rPr>
                <w:b/>
                <w:color w:val="173B63"/>
              </w:rPr>
              <w:t>Layer</w:t>
            </w:r>
          </w:p>
        </w:tc>
        <w:tc>
          <w:tcPr>
            <w:tcW w:type="dxa" w:w="3331"/>
            <w:shd w:fill="DDEAF3"/>
            <w:tcMar>
              <w:top w:w="110" w:type="dxa"/>
              <w:start w:w="120" w:type="dxa"/>
              <w:bottom w:w="110" w:type="dxa"/>
              <w:end w:w="120" w:type="dxa"/>
            </w:tcMar>
            <w:vAlign w:val="center"/>
          </w:tcPr>
          <w:p>
            <w:pPr>
              <w:jc w:val="center"/>
            </w:pPr>
            <w:r>
              <w:rPr>
                <w:b/>
                <w:color w:val="173B63"/>
              </w:rPr>
              <w:t>Purpose</w:t>
            </w:r>
          </w:p>
        </w:tc>
        <w:tc>
          <w:tcPr>
            <w:tcW w:type="dxa" w:w="3331"/>
            <w:shd w:fill="DDEAF3"/>
            <w:tcMar>
              <w:top w:w="110" w:type="dxa"/>
              <w:start w:w="120" w:type="dxa"/>
              <w:bottom w:w="110" w:type="dxa"/>
              <w:end w:w="120" w:type="dxa"/>
            </w:tcMar>
            <w:vAlign w:val="center"/>
          </w:tcPr>
          <w:p>
            <w:pPr>
              <w:jc w:val="left"/>
            </w:pPr>
            <w:r>
              <w:rPr>
                <w:b/>
                <w:color w:val="173B63"/>
              </w:rPr>
              <w:t>Typical questions it answers</w:t>
            </w:r>
          </w:p>
        </w:tc>
      </w:tr>
      <w:tr>
        <w:trPr>
          <w:cantSplit/>
        </w:trPr>
        <w:tc>
          <w:tcPr>
            <w:tcW w:type="dxa" w:w="1728"/>
            <w:tcMar>
              <w:top w:w="90" w:type="dxa"/>
              <w:start w:w="110" w:type="dxa"/>
              <w:bottom w:w="90" w:type="dxa"/>
              <w:end w:w="110" w:type="dxa"/>
            </w:tcMar>
            <w:vAlign w:val="center"/>
          </w:tcPr>
          <w:p>
            <w:pPr>
              <w:spacing w:after="40"/>
              <w:jc w:val="left"/>
            </w:pPr>
            <w:r>
              <w:t>Root layer</w:t>
            </w:r>
          </w:p>
        </w:tc>
        <w:tc>
          <w:tcPr>
            <w:tcW w:type="dxa" w:w="2880"/>
            <w:tcMar>
              <w:top w:w="90" w:type="dxa"/>
              <w:start w:w="110" w:type="dxa"/>
              <w:bottom w:w="90" w:type="dxa"/>
              <w:end w:w="110" w:type="dxa"/>
            </w:tcMar>
            <w:vAlign w:val="center"/>
          </w:tcPr>
          <w:p>
            <w:pPr>
              <w:spacing w:after="40"/>
              <w:jc w:val="left"/>
            </w:pPr>
            <w:r>
              <w:t>Canonical root registry and root relations</w:t>
            </w:r>
          </w:p>
        </w:tc>
        <w:tc>
          <w:tcPr>
            <w:tcW w:type="dxa" w:w="4608"/>
            <w:tcMar>
              <w:top w:w="90" w:type="dxa"/>
              <w:start w:w="110" w:type="dxa"/>
              <w:bottom w:w="90" w:type="dxa"/>
              <w:end w:w="110" w:type="dxa"/>
            </w:tcMar>
            <w:vAlign w:val="center"/>
          </w:tcPr>
          <w:p>
            <w:pPr>
              <w:spacing w:after="40"/>
              <w:jc w:val="left"/>
            </w:pPr>
            <w:r>
              <w:t>What semantic field does this root belong to? Which lemmas derive from it?</w:t>
            </w:r>
          </w:p>
        </w:tc>
      </w:tr>
      <w:tr>
        <w:trPr>
          <w:cantSplit/>
        </w:trPr>
        <w:tc>
          <w:tcPr>
            <w:tcW w:type="dxa" w:w="1728"/>
            <w:tcMar>
              <w:top w:w="90" w:type="dxa"/>
              <w:start w:w="110" w:type="dxa"/>
              <w:bottom w:w="90" w:type="dxa"/>
              <w:end w:w="110" w:type="dxa"/>
            </w:tcMar>
            <w:vAlign w:val="center"/>
          </w:tcPr>
          <w:p>
            <w:pPr>
              <w:spacing w:after="40"/>
              <w:jc w:val="left"/>
            </w:pPr>
            <w:r>
              <w:t>Lemma layer</w:t>
            </w:r>
          </w:p>
        </w:tc>
        <w:tc>
          <w:tcPr>
            <w:tcW w:type="dxa" w:w="2880"/>
            <w:tcMar>
              <w:top w:w="90" w:type="dxa"/>
              <w:start w:w="110" w:type="dxa"/>
              <w:bottom w:w="90" w:type="dxa"/>
              <w:end w:w="110" w:type="dxa"/>
            </w:tcMar>
            <w:vAlign w:val="center"/>
          </w:tcPr>
          <w:p>
            <w:pPr>
              <w:spacing w:after="40"/>
              <w:jc w:val="left"/>
            </w:pPr>
            <w:r>
              <w:t>Canonical lemma inventory across registers</w:t>
            </w:r>
          </w:p>
        </w:tc>
        <w:tc>
          <w:tcPr>
            <w:tcW w:type="dxa" w:w="4608"/>
            <w:tcMar>
              <w:top w:w="90" w:type="dxa"/>
              <w:start w:w="110" w:type="dxa"/>
              <w:bottom w:w="90" w:type="dxa"/>
              <w:end w:w="110" w:type="dxa"/>
            </w:tcMar>
            <w:vAlign w:val="center"/>
          </w:tcPr>
          <w:p>
            <w:pPr>
              <w:spacing w:after="40"/>
              <w:jc w:val="left"/>
            </w:pPr>
            <w:r>
              <w:t>Which lemma is primary? What variants or spellings exist?</w:t>
            </w:r>
          </w:p>
        </w:tc>
      </w:tr>
      <w:tr>
        <w:trPr>
          <w:cantSplit/>
        </w:trPr>
        <w:tc>
          <w:tcPr>
            <w:tcW w:type="dxa" w:w="1728"/>
            <w:tcMar>
              <w:top w:w="90" w:type="dxa"/>
              <w:start w:w="110" w:type="dxa"/>
              <w:bottom w:w="90" w:type="dxa"/>
              <w:end w:w="110" w:type="dxa"/>
            </w:tcMar>
            <w:vAlign w:val="center"/>
          </w:tcPr>
          <w:p>
            <w:pPr>
              <w:spacing w:after="40"/>
              <w:jc w:val="left"/>
            </w:pPr>
            <w:r>
              <w:t>Morphology / sarf</w:t>
            </w:r>
          </w:p>
        </w:tc>
        <w:tc>
          <w:tcPr>
            <w:tcW w:type="dxa" w:w="2880"/>
            <w:tcMar>
              <w:top w:w="90" w:type="dxa"/>
              <w:start w:w="110" w:type="dxa"/>
              <w:bottom w:w="90" w:type="dxa"/>
              <w:end w:w="110" w:type="dxa"/>
            </w:tcMar>
            <w:vAlign w:val="center"/>
          </w:tcPr>
          <w:p>
            <w:pPr>
              <w:spacing w:after="40"/>
              <w:jc w:val="left"/>
            </w:pPr>
            <w:r>
              <w:t>Patterns, inflection, derivation, paradigm templates</w:t>
            </w:r>
          </w:p>
        </w:tc>
        <w:tc>
          <w:tcPr>
            <w:tcW w:type="dxa" w:w="4608"/>
            <w:tcMar>
              <w:top w:w="90" w:type="dxa"/>
              <w:start w:w="110" w:type="dxa"/>
              <w:bottom w:w="90" w:type="dxa"/>
              <w:end w:w="110" w:type="dxa"/>
            </w:tcMar>
            <w:vAlign w:val="center"/>
          </w:tcPr>
          <w:p>
            <w:pPr>
              <w:spacing w:after="40"/>
              <w:jc w:val="left"/>
            </w:pPr>
            <w:r>
              <w:t>What form is this? What noun pattern or verb form is active?</w:t>
            </w:r>
          </w:p>
        </w:tc>
      </w:tr>
      <w:tr>
        <w:trPr>
          <w:cantSplit/>
        </w:trPr>
        <w:tc>
          <w:tcPr>
            <w:tcW w:type="dxa" w:w="1728"/>
            <w:tcMar>
              <w:top w:w="90" w:type="dxa"/>
              <w:start w:w="110" w:type="dxa"/>
              <w:bottom w:w="90" w:type="dxa"/>
              <w:end w:w="110" w:type="dxa"/>
            </w:tcMar>
            <w:vAlign w:val="center"/>
          </w:tcPr>
          <w:p>
            <w:pPr>
              <w:spacing w:after="40"/>
              <w:jc w:val="left"/>
            </w:pPr>
            <w:r>
              <w:t>Nahw / syntax</w:t>
            </w:r>
          </w:p>
        </w:tc>
        <w:tc>
          <w:tcPr>
            <w:tcW w:type="dxa" w:w="2880"/>
            <w:tcMar>
              <w:top w:w="90" w:type="dxa"/>
              <w:start w:w="110" w:type="dxa"/>
              <w:bottom w:w="90" w:type="dxa"/>
              <w:end w:w="110" w:type="dxa"/>
            </w:tcMar>
            <w:vAlign w:val="center"/>
          </w:tcPr>
          <w:p>
            <w:pPr>
              <w:spacing w:after="40"/>
              <w:jc w:val="left"/>
            </w:pPr>
            <w:r>
              <w:t>Syntactic concepts and grammatical relations</w:t>
            </w:r>
          </w:p>
        </w:tc>
        <w:tc>
          <w:tcPr>
            <w:tcW w:type="dxa" w:w="4608"/>
            <w:tcMar>
              <w:top w:w="90" w:type="dxa"/>
              <w:start w:w="110" w:type="dxa"/>
              <w:bottom w:w="90" w:type="dxa"/>
              <w:end w:w="110" w:type="dxa"/>
            </w:tcMar>
            <w:vAlign w:val="center"/>
          </w:tcPr>
          <w:p>
            <w:pPr>
              <w:spacing w:after="40"/>
              <w:jc w:val="left"/>
            </w:pPr>
            <w:r>
              <w:t>What function is this phrase serving? Which clause type is it?</w:t>
            </w:r>
          </w:p>
        </w:tc>
      </w:tr>
      <w:tr>
        <w:trPr>
          <w:cantSplit/>
        </w:trPr>
        <w:tc>
          <w:tcPr>
            <w:tcW w:type="dxa" w:w="1728"/>
            <w:tcMar>
              <w:top w:w="90" w:type="dxa"/>
              <w:start w:w="110" w:type="dxa"/>
              <w:bottom w:w="90" w:type="dxa"/>
              <w:end w:w="110" w:type="dxa"/>
            </w:tcMar>
            <w:vAlign w:val="center"/>
          </w:tcPr>
          <w:p>
            <w:pPr>
              <w:spacing w:after="40"/>
              <w:jc w:val="left"/>
            </w:pPr>
            <w:r>
              <w:t>Balagha / rhetoric</w:t>
            </w:r>
          </w:p>
        </w:tc>
        <w:tc>
          <w:tcPr>
            <w:tcW w:type="dxa" w:w="2880"/>
            <w:tcMar>
              <w:top w:w="90" w:type="dxa"/>
              <w:start w:w="110" w:type="dxa"/>
              <w:bottom w:w="90" w:type="dxa"/>
              <w:end w:w="110" w:type="dxa"/>
            </w:tcMar>
            <w:vAlign w:val="center"/>
          </w:tcPr>
          <w:p>
            <w:pPr>
              <w:spacing w:after="40"/>
              <w:jc w:val="left"/>
            </w:pPr>
            <w:r>
              <w:t>Rhetorical device registry with examples and relations</w:t>
            </w:r>
          </w:p>
        </w:tc>
        <w:tc>
          <w:tcPr>
            <w:tcW w:type="dxa" w:w="4608"/>
            <w:tcMar>
              <w:top w:w="90" w:type="dxa"/>
              <w:start w:w="110" w:type="dxa"/>
              <w:bottom w:w="90" w:type="dxa"/>
              <w:end w:w="110" w:type="dxa"/>
            </w:tcMar>
            <w:vAlign w:val="center"/>
          </w:tcPr>
          <w:p>
            <w:pPr>
              <w:spacing w:after="40"/>
              <w:jc w:val="left"/>
            </w:pPr>
            <w:r>
              <w:t>What device is present here and what effect does it create?</w:t>
            </w:r>
          </w:p>
        </w:tc>
      </w:tr>
      <w:tr>
        <w:trPr>
          <w:cantSplit/>
        </w:trPr>
        <w:tc>
          <w:tcPr>
            <w:tcW w:type="dxa" w:w="1728"/>
            <w:tcMar>
              <w:top w:w="90" w:type="dxa"/>
              <w:start w:w="110" w:type="dxa"/>
              <w:bottom w:w="90" w:type="dxa"/>
              <w:end w:w="110" w:type="dxa"/>
            </w:tcMar>
            <w:vAlign w:val="center"/>
          </w:tcPr>
          <w:p>
            <w:pPr>
              <w:spacing w:after="40"/>
              <w:jc w:val="left"/>
            </w:pPr>
            <w:r>
              <w:t>Lexicon / semantics</w:t>
            </w:r>
          </w:p>
        </w:tc>
        <w:tc>
          <w:tcPr>
            <w:tcW w:type="dxa" w:w="2880"/>
            <w:tcMar>
              <w:top w:w="90" w:type="dxa"/>
              <w:start w:w="110" w:type="dxa"/>
              <w:bottom w:w="90" w:type="dxa"/>
              <w:end w:w="110" w:type="dxa"/>
            </w:tcMar>
            <w:vAlign w:val="center"/>
          </w:tcPr>
          <w:p>
            <w:pPr>
              <w:spacing w:after="40"/>
              <w:jc w:val="left"/>
            </w:pPr>
            <w:r>
              <w:t>Senses, nuances, collocations, antonyms, semantic fields</w:t>
            </w:r>
          </w:p>
        </w:tc>
        <w:tc>
          <w:tcPr>
            <w:tcW w:type="dxa" w:w="4608"/>
            <w:tcMar>
              <w:top w:w="90" w:type="dxa"/>
              <w:start w:w="110" w:type="dxa"/>
              <w:bottom w:w="90" w:type="dxa"/>
              <w:end w:w="110" w:type="dxa"/>
            </w:tcMar>
            <w:vAlign w:val="center"/>
          </w:tcPr>
          <w:p>
            <w:pPr>
              <w:spacing w:after="40"/>
              <w:jc w:val="left"/>
            </w:pPr>
            <w:r>
              <w:t>What does this word mean here and how does it differ from near-synonyms?</w:t>
            </w:r>
          </w:p>
        </w:tc>
      </w:tr>
      <w:tr>
        <w:trPr>
          <w:cantSplit/>
        </w:trPr>
        <w:tc>
          <w:tcPr>
            <w:tcW w:type="dxa" w:w="1728"/>
            <w:tcMar>
              <w:top w:w="90" w:type="dxa"/>
              <w:start w:w="110" w:type="dxa"/>
              <w:bottom w:w="90" w:type="dxa"/>
              <w:end w:w="110" w:type="dxa"/>
            </w:tcMar>
            <w:vAlign w:val="center"/>
          </w:tcPr>
          <w:p>
            <w:pPr>
              <w:spacing w:after="40"/>
              <w:jc w:val="left"/>
            </w:pPr>
            <w:r>
              <w:t>Expressions</w:t>
            </w:r>
          </w:p>
        </w:tc>
        <w:tc>
          <w:tcPr>
            <w:tcW w:type="dxa" w:w="2880"/>
            <w:tcMar>
              <w:top w:w="90" w:type="dxa"/>
              <w:start w:w="110" w:type="dxa"/>
              <w:bottom w:w="90" w:type="dxa"/>
              <w:end w:w="110" w:type="dxa"/>
            </w:tcMar>
            <w:vAlign w:val="center"/>
          </w:tcPr>
          <w:p>
            <w:pPr>
              <w:spacing w:after="40"/>
              <w:jc w:val="left"/>
            </w:pPr>
            <w:r>
              <w:t>Formulae, collocations, idioms, repeated constructions</w:t>
            </w:r>
          </w:p>
        </w:tc>
        <w:tc>
          <w:tcPr>
            <w:tcW w:type="dxa" w:w="4608"/>
            <w:tcMar>
              <w:top w:w="90" w:type="dxa"/>
              <w:start w:w="110" w:type="dxa"/>
              <w:bottom w:w="90" w:type="dxa"/>
              <w:end w:w="110" w:type="dxa"/>
            </w:tcMar>
            <w:vAlign w:val="center"/>
          </w:tcPr>
          <w:p>
            <w:pPr>
              <w:spacing w:after="40"/>
              <w:jc w:val="left"/>
            </w:pPr>
            <w:r>
              <w:t>Is this a stable expression, an idiom, or a patterned declaration?</w:t>
            </w:r>
          </w:p>
        </w:tc>
      </w:tr>
      <w:tr>
        <w:trPr>
          <w:cantSplit/>
        </w:trPr>
        <w:tc>
          <w:tcPr>
            <w:tcW w:type="dxa" w:w="1728"/>
            <w:tcMar>
              <w:top w:w="90" w:type="dxa"/>
              <w:start w:w="110" w:type="dxa"/>
              <w:bottom w:w="90" w:type="dxa"/>
              <w:end w:w="110" w:type="dxa"/>
            </w:tcMar>
            <w:vAlign w:val="center"/>
          </w:tcPr>
          <w:p>
            <w:pPr>
              <w:spacing w:after="40"/>
              <w:jc w:val="left"/>
            </w:pPr>
            <w:r>
              <w:t>Sources and evidence</w:t>
            </w:r>
          </w:p>
        </w:tc>
        <w:tc>
          <w:tcPr>
            <w:tcW w:type="dxa" w:w="2880"/>
            <w:tcMar>
              <w:top w:w="90" w:type="dxa"/>
              <w:start w:w="110" w:type="dxa"/>
              <w:bottom w:w="90" w:type="dxa"/>
              <w:end w:w="110" w:type="dxa"/>
            </w:tcMar>
            <w:vAlign w:val="center"/>
          </w:tcPr>
          <w:p>
            <w:pPr>
              <w:spacing w:after="40"/>
              <w:jc w:val="left"/>
            </w:pPr>
            <w:r>
              <w:t>Linguistic books, chunks, indices, citations, evidence items</w:t>
            </w:r>
          </w:p>
        </w:tc>
        <w:tc>
          <w:tcPr>
            <w:tcW w:type="dxa" w:w="4608"/>
            <w:tcMar>
              <w:top w:w="90" w:type="dxa"/>
              <w:start w:w="110" w:type="dxa"/>
              <w:bottom w:w="90" w:type="dxa"/>
              <w:end w:w="110" w:type="dxa"/>
            </w:tcMar>
            <w:vAlign w:val="center"/>
          </w:tcPr>
          <w:p>
            <w:pPr>
              <w:spacing w:after="40"/>
              <w:jc w:val="left"/>
            </w:pPr>
            <w:r>
              <w:t>Which source supports this analysis and where?</w:t>
            </w:r>
          </w:p>
        </w:tc>
      </w:tr>
    </w:tbl>
    <w:p>
      <w:pPr>
        <w:pStyle w:val="Heading1"/>
        <w:keepNext/>
      </w:pPr>
      <w:r>
        <w:t>5. The three disciplinary trees: صرف، نحو، بلاغة</w:t>
      </w:r>
    </w:p>
    <w:p>
      <w:pPr/>
      <w:r>
        <w:t>A major missing piece is a formal disciplinary backbone. The module should expose one top-level linguistic knowledge container with three major disciplinary trees: صرف, نحو, and بلاغة. This is not the learner curriculum product itself; it is the canonical knowledge hierarchy that pedagogy can later consume.</w:t>
      </w:r>
    </w:p>
    <w:tbl>
      <w:tblPr>
        <w:tblW w:type="auto" w:w="0"/>
        <w:jc w:val="left"/>
        <w:tblLayout w:type="fixed"/>
        <w:tblLook w:firstColumn="1" w:firstRow="1" w:lastColumn="0" w:lastRow="0" w:noHBand="0" w:noVBand="1" w:val="04A0"/>
        <w:tblBorders>
          <w:top w:val="single" w:sz="6" w:space="0" w:color="B8CBD9"/>
          <w:left w:val="single" w:sz="6" w:space="0" w:color="B8CBD9"/>
          <w:bottom w:val="single" w:sz="6" w:space="0" w:color="B8CBD9"/>
          <w:right w:val="single" w:sz="6" w:space="0" w:color="B8CBD9"/>
          <w:insideH w:val="single" w:sz="6" w:space="0" w:color="B8CBD9"/>
          <w:insideV w:val="single" w:sz="6" w:space="0" w:color="B8CBD9"/>
        </w:tblBorders>
      </w:tblPr>
      <w:tblGrid>
        <w:gridCol w:w="1296"/>
        <w:gridCol w:w="3168"/>
        <w:gridCol w:w="4752"/>
      </w:tblGrid>
      <w:tr>
        <w:trPr>
          <w:tblHeader w:val="true"/>
          <w:cantSplit/>
        </w:trPr>
        <w:tc>
          <w:tcPr>
            <w:tcW w:type="dxa" w:w="3331"/>
            <w:shd w:fill="DDEAF3"/>
            <w:tcMar>
              <w:top w:w="110" w:type="dxa"/>
              <w:start w:w="120" w:type="dxa"/>
              <w:bottom w:w="110" w:type="dxa"/>
              <w:end w:w="120" w:type="dxa"/>
            </w:tcMar>
            <w:vAlign w:val="center"/>
          </w:tcPr>
          <w:p>
            <w:pPr>
              <w:jc w:val="center"/>
            </w:pPr>
            <w:r>
              <w:rPr>
                <w:b/>
                <w:color w:val="173B63"/>
              </w:rPr>
              <w:t>Discipline</w:t>
            </w:r>
          </w:p>
        </w:tc>
        <w:tc>
          <w:tcPr>
            <w:tcW w:type="dxa" w:w="3331"/>
            <w:shd w:fill="DDEAF3"/>
            <w:tcMar>
              <w:top w:w="110" w:type="dxa"/>
              <w:start w:w="120" w:type="dxa"/>
              <w:bottom w:w="110" w:type="dxa"/>
              <w:end w:w="120" w:type="dxa"/>
            </w:tcMar>
            <w:vAlign w:val="center"/>
          </w:tcPr>
          <w:p>
            <w:pPr>
              <w:jc w:val="center"/>
            </w:pPr>
            <w:r>
              <w:rPr>
                <w:b/>
                <w:color w:val="173B63"/>
              </w:rPr>
              <w:t>What it covers</w:t>
            </w:r>
          </w:p>
        </w:tc>
        <w:tc>
          <w:tcPr>
            <w:tcW w:type="dxa" w:w="3331"/>
            <w:shd w:fill="DDEAF3"/>
            <w:tcMar>
              <w:top w:w="110" w:type="dxa"/>
              <w:start w:w="120" w:type="dxa"/>
              <w:bottom w:w="110" w:type="dxa"/>
              <w:end w:w="120" w:type="dxa"/>
            </w:tcMar>
            <w:vAlign w:val="center"/>
          </w:tcPr>
          <w:p>
            <w:pPr>
              <w:jc w:val="left"/>
            </w:pPr>
            <w:r>
              <w:rPr>
                <w:b/>
                <w:color w:val="173B63"/>
              </w:rPr>
              <w:t>Examples of sub-units</w:t>
            </w:r>
          </w:p>
        </w:tc>
      </w:tr>
      <w:tr>
        <w:trPr>
          <w:cantSplit/>
        </w:trPr>
        <w:tc>
          <w:tcPr>
            <w:tcW w:type="dxa" w:w="1296"/>
            <w:tcMar>
              <w:top w:w="90" w:type="dxa"/>
              <w:start w:w="110" w:type="dxa"/>
              <w:bottom w:w="90" w:type="dxa"/>
              <w:end w:w="110" w:type="dxa"/>
            </w:tcMar>
            <w:vAlign w:val="center"/>
          </w:tcPr>
          <w:p>
            <w:pPr>
              <w:spacing w:after="40"/>
              <w:jc w:val="center"/>
            </w:pPr>
            <w:r>
              <w:t>صرف</w:t>
            </w:r>
          </w:p>
        </w:tc>
        <w:tc>
          <w:tcPr>
            <w:tcW w:type="dxa" w:w="3168"/>
            <w:tcMar>
              <w:top w:w="90" w:type="dxa"/>
              <w:start w:w="110" w:type="dxa"/>
              <w:bottom w:w="90" w:type="dxa"/>
              <w:end w:w="110" w:type="dxa"/>
            </w:tcMar>
            <w:vAlign w:val="center"/>
          </w:tcPr>
          <w:p>
            <w:pPr>
              <w:spacing w:after="40"/>
              <w:jc w:val="left"/>
            </w:pPr>
            <w:r>
              <w:t>Word formation, derivation, inflection, patterns, paradigm families</w:t>
            </w:r>
          </w:p>
        </w:tc>
        <w:tc>
          <w:tcPr>
            <w:tcW w:type="dxa" w:w="4752"/>
            <w:tcMar>
              <w:top w:w="90" w:type="dxa"/>
              <w:start w:w="110" w:type="dxa"/>
              <w:bottom w:w="90" w:type="dxa"/>
              <w:end w:w="110" w:type="dxa"/>
            </w:tcMar>
            <w:vAlign w:val="center"/>
          </w:tcPr>
          <w:p>
            <w:pPr>
              <w:spacing w:after="40"/>
              <w:jc w:val="left"/>
            </w:pPr>
            <w:r>
              <w:t>verb forms, masdar types, ism fa'il, ism maf'ul, broken plurals, weak verb behavior, pattern exceptions</w:t>
            </w:r>
          </w:p>
        </w:tc>
      </w:tr>
      <w:tr>
        <w:trPr>
          <w:cantSplit/>
        </w:trPr>
        <w:tc>
          <w:tcPr>
            <w:tcW w:type="dxa" w:w="1296"/>
            <w:tcMar>
              <w:top w:w="90" w:type="dxa"/>
              <w:start w:w="110" w:type="dxa"/>
              <w:bottom w:w="90" w:type="dxa"/>
              <w:end w:w="110" w:type="dxa"/>
            </w:tcMar>
            <w:vAlign w:val="center"/>
          </w:tcPr>
          <w:p>
            <w:pPr>
              <w:spacing w:after="40"/>
              <w:jc w:val="center"/>
            </w:pPr>
            <w:r>
              <w:t>نحو</w:t>
            </w:r>
          </w:p>
        </w:tc>
        <w:tc>
          <w:tcPr>
            <w:tcW w:type="dxa" w:w="3168"/>
            <w:tcMar>
              <w:top w:w="90" w:type="dxa"/>
              <w:start w:w="110" w:type="dxa"/>
              <w:bottom w:w="90" w:type="dxa"/>
              <w:end w:w="110" w:type="dxa"/>
            </w:tcMar>
            <w:vAlign w:val="center"/>
          </w:tcPr>
          <w:p>
            <w:pPr>
              <w:spacing w:after="40"/>
              <w:jc w:val="left"/>
            </w:pPr>
            <w:r>
              <w:t>Sentence and clause architecture, syntactic roles, i'rab logic, dependency patterns</w:t>
            </w:r>
          </w:p>
        </w:tc>
        <w:tc>
          <w:tcPr>
            <w:tcW w:type="dxa" w:w="4752"/>
            <w:tcMar>
              <w:top w:w="90" w:type="dxa"/>
              <w:start w:w="110" w:type="dxa"/>
              <w:bottom w:w="90" w:type="dxa"/>
              <w:end w:w="110" w:type="dxa"/>
            </w:tcMar>
            <w:vAlign w:val="center"/>
          </w:tcPr>
          <w:p>
            <w:pPr>
              <w:spacing w:after="40"/>
              <w:jc w:val="left"/>
            </w:pPr>
            <w:r>
              <w:t>jumlah ismiyyah, jumlah fi'liyyah, na't/man'ut, idafa, hal, tamyiz, conditional structures, particle governance</w:t>
            </w:r>
          </w:p>
        </w:tc>
      </w:tr>
      <w:tr>
        <w:trPr>
          <w:cantSplit/>
        </w:trPr>
        <w:tc>
          <w:tcPr>
            <w:tcW w:type="dxa" w:w="1296"/>
            <w:tcMar>
              <w:top w:w="90" w:type="dxa"/>
              <w:start w:w="110" w:type="dxa"/>
              <w:bottom w:w="90" w:type="dxa"/>
              <w:end w:w="110" w:type="dxa"/>
            </w:tcMar>
            <w:vAlign w:val="center"/>
          </w:tcPr>
          <w:p>
            <w:pPr>
              <w:spacing w:after="40"/>
              <w:jc w:val="center"/>
            </w:pPr>
            <w:r>
              <w:t>بلاغة</w:t>
            </w:r>
          </w:p>
        </w:tc>
        <w:tc>
          <w:tcPr>
            <w:tcW w:type="dxa" w:w="3168"/>
            <w:tcMar>
              <w:top w:w="90" w:type="dxa"/>
              <w:start w:w="110" w:type="dxa"/>
              <w:bottom w:w="90" w:type="dxa"/>
              <w:end w:w="110" w:type="dxa"/>
            </w:tcMar>
            <w:vAlign w:val="center"/>
          </w:tcPr>
          <w:p>
            <w:pPr>
              <w:spacing w:after="40"/>
              <w:jc w:val="left"/>
            </w:pPr>
            <w:r>
              <w:t>Meaning effects, rhetorical devices, imagery, emphasis, contrast, eloquence</w:t>
            </w:r>
          </w:p>
        </w:tc>
        <w:tc>
          <w:tcPr>
            <w:tcW w:type="dxa" w:w="4752"/>
            <w:tcMar>
              <w:top w:w="90" w:type="dxa"/>
              <w:start w:w="110" w:type="dxa"/>
              <w:bottom w:w="90" w:type="dxa"/>
              <w:end w:w="110" w:type="dxa"/>
            </w:tcMar>
            <w:vAlign w:val="center"/>
          </w:tcPr>
          <w:p>
            <w:pPr>
              <w:spacing w:after="40"/>
              <w:jc w:val="left"/>
            </w:pPr>
            <w:r>
              <w:t>tashbih, isti'arah, kinayah, qasr, iltifat, repetition, taqdim/ta'khir as rhetorical force, bayan/ma'ani/badi'</w:t>
            </w:r>
          </w:p>
        </w:tc>
      </w:tr>
    </w:tbl>
    <w:p>
      <w:pPr/>
      <w:r>
        <w:t>Each discipline should then have a sub-unit tree with canonical concepts, parent-child relations, cross-links to examples, and evidence-backed definitions. km_arabic may build courses on top of that tree; km_arabic_linguistic owns the tree itself.</w:t>
      </w:r>
    </w:p>
    <w:p>
      <w:pPr>
        <w:pStyle w:val="Heading1"/>
        <w:keepNext/>
      </w:pPr>
      <w:r>
        <w:t>6. Relationship to current schema fragments</w:t>
      </w:r>
    </w:p>
    <w:p>
      <w:pPr/>
      <w:r>
        <w:t>Your existing schema already contains strong shared-language seeds, but they are still mixed across old naming, pedagogy-facing tables, and transitional families.</w:t>
      </w:r>
    </w:p>
    <w:tbl>
      <w:tblPr>
        <w:tblW w:type="auto" w:w="0"/>
        <w:jc w:val="left"/>
        <w:tblLayout w:type="fixed"/>
        <w:tblLook w:firstColumn="1" w:firstRow="1" w:lastColumn="0" w:lastRow="0" w:noHBand="0" w:noVBand="1" w:val="04A0"/>
        <w:tblBorders>
          <w:top w:val="single" w:sz="6" w:space="0" w:color="B8CBD9"/>
          <w:left w:val="single" w:sz="6" w:space="0" w:color="B8CBD9"/>
          <w:bottom w:val="single" w:sz="6" w:space="0" w:color="B8CBD9"/>
          <w:right w:val="single" w:sz="6" w:space="0" w:color="B8CBD9"/>
          <w:insideH w:val="single" w:sz="6" w:space="0" w:color="B8CBD9"/>
          <w:insideV w:val="single" w:sz="6" w:space="0" w:color="B8CBD9"/>
        </w:tblBorders>
      </w:tblPr>
      <w:tblGrid>
        <w:gridCol w:w="2880"/>
        <w:gridCol w:w="2592"/>
        <w:gridCol w:w="3888"/>
      </w:tblGrid>
      <w:tr>
        <w:trPr>
          <w:tblHeader w:val="true"/>
          <w:cantSplit/>
        </w:trPr>
        <w:tc>
          <w:tcPr>
            <w:tcW w:type="dxa" w:w="3331"/>
            <w:shd w:fill="DDEAF3"/>
            <w:tcMar>
              <w:top w:w="110" w:type="dxa"/>
              <w:start w:w="120" w:type="dxa"/>
              <w:bottom w:w="110" w:type="dxa"/>
              <w:end w:w="120" w:type="dxa"/>
            </w:tcMar>
            <w:vAlign w:val="center"/>
          </w:tcPr>
          <w:p>
            <w:pPr>
              <w:jc w:val="center"/>
            </w:pPr>
            <w:r>
              <w:rPr>
                <w:b/>
                <w:color w:val="173B63"/>
              </w:rPr>
              <w:t>Current family</w:t>
            </w:r>
          </w:p>
        </w:tc>
        <w:tc>
          <w:tcPr>
            <w:tcW w:type="dxa" w:w="3331"/>
            <w:shd w:fill="DDEAF3"/>
            <w:tcMar>
              <w:top w:w="110" w:type="dxa"/>
              <w:start w:w="120" w:type="dxa"/>
              <w:bottom w:w="110" w:type="dxa"/>
              <w:end w:w="120" w:type="dxa"/>
            </w:tcMar>
            <w:vAlign w:val="center"/>
          </w:tcPr>
          <w:p>
            <w:pPr>
              <w:jc w:val="center"/>
            </w:pPr>
            <w:r>
              <w:rPr>
                <w:b/>
                <w:color w:val="173B63"/>
              </w:rPr>
              <w:t>Interpretation</w:t>
            </w:r>
          </w:p>
        </w:tc>
        <w:tc>
          <w:tcPr>
            <w:tcW w:type="dxa" w:w="3331"/>
            <w:shd w:fill="DDEAF3"/>
            <w:tcMar>
              <w:top w:w="110" w:type="dxa"/>
              <w:start w:w="120" w:type="dxa"/>
              <w:bottom w:w="110" w:type="dxa"/>
              <w:end w:w="120" w:type="dxa"/>
            </w:tcMar>
            <w:vAlign w:val="center"/>
          </w:tcPr>
          <w:p>
            <w:pPr>
              <w:jc w:val="left"/>
            </w:pPr>
            <w:r>
              <w:rPr>
                <w:b/>
                <w:color w:val="173B63"/>
              </w:rPr>
              <w:t>Target posture inside km_arabic_linguistic</w:t>
            </w:r>
          </w:p>
        </w:tc>
      </w:tr>
      <w:tr>
        <w:trPr>
          <w:cantSplit/>
        </w:trPr>
        <w:tc>
          <w:tcPr>
            <w:tcW w:type="dxa" w:w="2880"/>
            <w:tcMar>
              <w:top w:w="90" w:type="dxa"/>
              <w:start w:w="110" w:type="dxa"/>
              <w:bottom w:w="90" w:type="dxa"/>
              <w:end w:w="110" w:type="dxa"/>
            </w:tcMar>
            <w:vAlign w:val="center"/>
          </w:tcPr>
          <w:p>
            <w:pPr>
              <w:spacing w:after="40"/>
              <w:jc w:val="left"/>
            </w:pPr>
            <w:r>
              <w:t>ar_u_roots / ar_u_lemmas</w:t>
            </w:r>
          </w:p>
        </w:tc>
        <w:tc>
          <w:tcPr>
            <w:tcW w:type="dxa" w:w="2592"/>
            <w:tcMar>
              <w:top w:w="90" w:type="dxa"/>
              <w:start w:w="110" w:type="dxa"/>
              <w:bottom w:w="90" w:type="dxa"/>
              <w:end w:w="110" w:type="dxa"/>
            </w:tcMar>
            <w:vAlign w:val="center"/>
          </w:tcPr>
          <w:p>
            <w:pPr>
              <w:spacing w:after="40"/>
              <w:jc w:val="left"/>
            </w:pPr>
            <w:r>
              <w:t>Shared lexical truth seeds</w:t>
            </w:r>
          </w:p>
        </w:tc>
        <w:tc>
          <w:tcPr>
            <w:tcW w:type="dxa" w:w="3888"/>
            <w:tcMar>
              <w:top w:w="90" w:type="dxa"/>
              <w:start w:w="110" w:type="dxa"/>
              <w:bottom w:w="90" w:type="dxa"/>
              <w:end w:w="110" w:type="dxa"/>
            </w:tcMar>
            <w:vAlign w:val="center"/>
          </w:tcPr>
          <w:p>
            <w:pPr>
              <w:spacing w:after="40"/>
              <w:jc w:val="left"/>
            </w:pPr>
            <w:r>
              <w:t>Promote into canonical root and lemma registries.</w:t>
            </w:r>
          </w:p>
        </w:tc>
      </w:tr>
      <w:tr>
        <w:trPr>
          <w:cantSplit/>
        </w:trPr>
        <w:tc>
          <w:tcPr>
            <w:tcW w:type="dxa" w:w="2880"/>
            <w:tcMar>
              <w:top w:w="90" w:type="dxa"/>
              <w:start w:w="110" w:type="dxa"/>
              <w:bottom w:w="90" w:type="dxa"/>
              <w:end w:w="110" w:type="dxa"/>
            </w:tcMar>
            <w:vAlign w:val="center"/>
          </w:tcPr>
          <w:p>
            <w:pPr>
              <w:spacing w:after="40"/>
              <w:jc w:val="left"/>
            </w:pPr>
            <w:r>
              <w:t>ar_u_lemma_morphology / ar_u_morphology</w:t>
            </w:r>
          </w:p>
        </w:tc>
        <w:tc>
          <w:tcPr>
            <w:tcW w:type="dxa" w:w="2592"/>
            <w:tcMar>
              <w:top w:w="90" w:type="dxa"/>
              <w:start w:w="110" w:type="dxa"/>
              <w:bottom w:w="90" w:type="dxa"/>
              <w:end w:w="110" w:type="dxa"/>
            </w:tcMar>
            <w:vAlign w:val="center"/>
          </w:tcPr>
          <w:p>
            <w:pPr>
              <w:spacing w:after="40"/>
              <w:jc w:val="left"/>
            </w:pPr>
            <w:r>
              <w:t>Morphology linkage</w:t>
            </w:r>
          </w:p>
        </w:tc>
        <w:tc>
          <w:tcPr>
            <w:tcW w:type="dxa" w:w="3888"/>
            <w:tcMar>
              <w:top w:w="90" w:type="dxa"/>
              <w:start w:w="110" w:type="dxa"/>
              <w:bottom w:w="90" w:type="dxa"/>
              <w:end w:w="110" w:type="dxa"/>
            </w:tcMar>
            <w:vAlign w:val="center"/>
          </w:tcPr>
          <w:p>
            <w:pPr>
              <w:spacing w:after="40"/>
              <w:jc w:val="left"/>
            </w:pPr>
            <w:r>
              <w:t>Retain and deepen into full sarf paradigm families.</w:t>
            </w:r>
          </w:p>
        </w:tc>
      </w:tr>
      <w:tr>
        <w:trPr>
          <w:cantSplit/>
        </w:trPr>
        <w:tc>
          <w:tcPr>
            <w:tcW w:type="dxa" w:w="2880"/>
            <w:tcMar>
              <w:top w:w="90" w:type="dxa"/>
              <w:start w:w="110" w:type="dxa"/>
              <w:bottom w:w="90" w:type="dxa"/>
              <w:end w:w="110" w:type="dxa"/>
            </w:tcMar>
            <w:vAlign w:val="center"/>
          </w:tcPr>
          <w:p>
            <w:pPr>
              <w:spacing w:after="40"/>
              <w:jc w:val="left"/>
            </w:pPr>
            <w:r>
              <w:t>ar_u_lexicon</w:t>
            </w:r>
          </w:p>
        </w:tc>
        <w:tc>
          <w:tcPr>
            <w:tcW w:type="dxa" w:w="2592"/>
            <w:tcMar>
              <w:top w:w="90" w:type="dxa"/>
              <w:start w:w="110" w:type="dxa"/>
              <w:bottom w:w="90" w:type="dxa"/>
              <w:end w:w="110" w:type="dxa"/>
            </w:tcMar>
            <w:vAlign w:val="center"/>
          </w:tcPr>
          <w:p>
            <w:pPr>
              <w:spacing w:after="40"/>
              <w:jc w:val="left"/>
            </w:pPr>
            <w:r>
              <w:t>Lexicon + expression hybrid</w:t>
            </w:r>
          </w:p>
        </w:tc>
        <w:tc>
          <w:tcPr>
            <w:tcW w:type="dxa" w:w="3888"/>
            <w:tcMar>
              <w:top w:w="90" w:type="dxa"/>
              <w:start w:w="110" w:type="dxa"/>
              <w:bottom w:w="90" w:type="dxa"/>
              <w:end w:w="110" w:type="dxa"/>
            </w:tcMar>
            <w:vAlign w:val="center"/>
          </w:tcPr>
          <w:p>
            <w:pPr>
              <w:spacing w:after="40"/>
              <w:jc w:val="left"/>
            </w:pPr>
            <w:r>
              <w:t>Split cleanly into lexicon entries, senses, collocations, and expression families where needed.</w:t>
            </w:r>
          </w:p>
        </w:tc>
      </w:tr>
      <w:tr>
        <w:trPr>
          <w:cantSplit/>
        </w:trPr>
        <w:tc>
          <w:tcPr>
            <w:tcW w:type="dxa" w:w="2880"/>
            <w:tcMar>
              <w:top w:w="90" w:type="dxa"/>
              <w:start w:w="110" w:type="dxa"/>
              <w:bottom w:w="90" w:type="dxa"/>
              <w:end w:w="110" w:type="dxa"/>
            </w:tcMar>
            <w:vAlign w:val="center"/>
          </w:tcPr>
          <w:p>
            <w:pPr>
              <w:spacing w:after="40"/>
              <w:jc w:val="left"/>
            </w:pPr>
            <w:r>
              <w:t>ar_u_grammar / ar_u_grammar_relations</w:t>
            </w:r>
          </w:p>
        </w:tc>
        <w:tc>
          <w:tcPr>
            <w:tcW w:type="dxa" w:w="2592"/>
            <w:tcMar>
              <w:top w:w="90" w:type="dxa"/>
              <w:start w:w="110" w:type="dxa"/>
              <w:bottom w:w="90" w:type="dxa"/>
              <w:end w:w="110" w:type="dxa"/>
            </w:tcMar>
            <w:vAlign w:val="center"/>
          </w:tcPr>
          <w:p>
            <w:pPr>
              <w:spacing w:after="40"/>
              <w:jc w:val="left"/>
            </w:pPr>
            <w:r>
              <w:t>Generic grammar registry</w:t>
            </w:r>
          </w:p>
        </w:tc>
        <w:tc>
          <w:tcPr>
            <w:tcW w:type="dxa" w:w="3888"/>
            <w:tcMar>
              <w:top w:w="90" w:type="dxa"/>
              <w:start w:w="110" w:type="dxa"/>
              <w:bottom w:w="90" w:type="dxa"/>
              <w:end w:w="110" w:type="dxa"/>
            </w:tcMar>
            <w:vAlign w:val="center"/>
          </w:tcPr>
          <w:p>
            <w:pPr>
              <w:spacing w:after="40"/>
              <w:jc w:val="left"/>
            </w:pPr>
            <w:r>
              <w:t>Refine into discipline-aware nahw, sarf, and cross-cutting grammar concept families.</w:t>
            </w:r>
          </w:p>
        </w:tc>
      </w:tr>
      <w:tr>
        <w:trPr>
          <w:cantSplit/>
        </w:trPr>
        <w:tc>
          <w:tcPr>
            <w:tcW w:type="dxa" w:w="2880"/>
            <w:tcMar>
              <w:top w:w="90" w:type="dxa"/>
              <w:start w:w="110" w:type="dxa"/>
              <w:bottom w:w="90" w:type="dxa"/>
              <w:end w:w="110" w:type="dxa"/>
            </w:tcMar>
            <w:vAlign w:val="center"/>
          </w:tcPr>
          <w:p>
            <w:pPr>
              <w:spacing w:after="40"/>
              <w:jc w:val="left"/>
            </w:pPr>
            <w:r>
              <w:t>ar_balagha</w:t>
            </w:r>
          </w:p>
        </w:tc>
        <w:tc>
          <w:tcPr>
            <w:tcW w:type="dxa" w:w="2592"/>
            <w:tcMar>
              <w:top w:w="90" w:type="dxa"/>
              <w:start w:w="110" w:type="dxa"/>
              <w:bottom w:w="90" w:type="dxa"/>
              <w:end w:w="110" w:type="dxa"/>
            </w:tcMar>
            <w:vAlign w:val="center"/>
          </w:tcPr>
          <w:p>
            <w:pPr>
              <w:spacing w:after="40"/>
              <w:jc w:val="left"/>
            </w:pPr>
            <w:r>
              <w:t>Good rhetorical seed</w:t>
            </w:r>
          </w:p>
        </w:tc>
        <w:tc>
          <w:tcPr>
            <w:tcW w:type="dxa" w:w="3888"/>
            <w:tcMar>
              <w:top w:w="90" w:type="dxa"/>
              <w:start w:w="110" w:type="dxa"/>
              <w:bottom w:w="90" w:type="dxa"/>
              <w:end w:w="110" w:type="dxa"/>
            </w:tcMar>
            <w:vAlign w:val="center"/>
          </w:tcPr>
          <w:p>
            <w:pPr>
              <w:spacing w:after="40"/>
              <w:jc w:val="left"/>
            </w:pPr>
            <w:r>
              <w:t>Promote into full balagha registry with concept relations, examples, and evidence links.</w:t>
            </w:r>
          </w:p>
        </w:tc>
      </w:tr>
      <w:tr>
        <w:trPr>
          <w:cantSplit/>
        </w:trPr>
        <w:tc>
          <w:tcPr>
            <w:tcW w:type="dxa" w:w="2880"/>
            <w:tcMar>
              <w:top w:w="90" w:type="dxa"/>
              <w:start w:w="110" w:type="dxa"/>
              <w:bottom w:w="90" w:type="dxa"/>
              <w:end w:w="110" w:type="dxa"/>
            </w:tcMar>
            <w:vAlign w:val="center"/>
          </w:tcPr>
          <w:p>
            <w:pPr>
              <w:spacing w:after="40"/>
              <w:jc w:val="left"/>
            </w:pPr>
            <w:r>
              <w:t>ar_source_chunks / ar_source_index / ar_source_toc</w:t>
            </w:r>
          </w:p>
        </w:tc>
        <w:tc>
          <w:tcPr>
            <w:tcW w:type="dxa" w:w="2592"/>
            <w:tcMar>
              <w:top w:w="90" w:type="dxa"/>
              <w:start w:w="110" w:type="dxa"/>
              <w:bottom w:w="90" w:type="dxa"/>
              <w:end w:w="110" w:type="dxa"/>
            </w:tcMar>
            <w:vAlign w:val="center"/>
          </w:tcPr>
          <w:p>
            <w:pPr>
              <w:spacing w:after="40"/>
              <w:jc w:val="left"/>
            </w:pPr>
            <w:r>
              <w:t>Excellent source/evidence substrate</w:t>
            </w:r>
          </w:p>
        </w:tc>
        <w:tc>
          <w:tcPr>
            <w:tcW w:type="dxa" w:w="3888"/>
            <w:tcMar>
              <w:top w:w="90" w:type="dxa"/>
              <w:start w:w="110" w:type="dxa"/>
              <w:bottom w:w="90" w:type="dxa"/>
              <w:end w:w="110" w:type="dxa"/>
            </w:tcMar>
            <w:vAlign w:val="center"/>
          </w:tcPr>
          <w:p>
            <w:pPr>
              <w:spacing w:after="40"/>
              <w:jc w:val="left"/>
            </w:pPr>
            <w:r>
              <w:t>Keep and formalize as linguistic-source families.</w:t>
            </w:r>
          </w:p>
        </w:tc>
      </w:tr>
      <w:tr>
        <w:trPr>
          <w:cantSplit/>
        </w:trPr>
        <w:tc>
          <w:tcPr>
            <w:tcW w:type="dxa" w:w="2880"/>
            <w:tcMar>
              <w:top w:w="90" w:type="dxa"/>
              <w:start w:w="110" w:type="dxa"/>
              <w:bottom w:w="90" w:type="dxa"/>
              <w:end w:w="110" w:type="dxa"/>
            </w:tcMar>
            <w:vAlign w:val="center"/>
          </w:tcPr>
          <w:p>
            <w:pPr>
              <w:spacing w:after="40"/>
              <w:jc w:val="left"/>
            </w:pPr>
            <w:r>
              <w:t>ar_grammar_units / items</w:t>
            </w:r>
          </w:p>
        </w:tc>
        <w:tc>
          <w:tcPr>
            <w:tcW w:type="dxa" w:w="2592"/>
            <w:tcMar>
              <w:top w:w="90" w:type="dxa"/>
              <w:start w:w="110" w:type="dxa"/>
              <w:bottom w:w="90" w:type="dxa"/>
              <w:end w:w="110" w:type="dxa"/>
            </w:tcMar>
            <w:vAlign w:val="center"/>
          </w:tcPr>
          <w:p>
            <w:pPr>
              <w:spacing w:after="40"/>
              <w:jc w:val="left"/>
            </w:pPr>
            <w:r>
              <w:t>Curriculum-ish packaging</w:t>
            </w:r>
          </w:p>
        </w:tc>
        <w:tc>
          <w:tcPr>
            <w:tcW w:type="dxa" w:w="3888"/>
            <w:tcMar>
              <w:top w:w="90" w:type="dxa"/>
              <w:start w:w="110" w:type="dxa"/>
              <w:bottom w:w="90" w:type="dxa"/>
              <w:end w:w="110" w:type="dxa"/>
            </w:tcMar>
            <w:vAlign w:val="center"/>
          </w:tcPr>
          <w:p>
            <w:pPr>
              <w:spacing w:after="40"/>
              <w:jc w:val="left"/>
            </w:pPr>
            <w:r>
              <w:t>Leave learner packaging in km_arabic; use this module only for canonical concept truth.</w:t>
            </w:r>
          </w:p>
        </w:tc>
      </w:tr>
    </w:tbl>
    <w:p>
      <w:pPr>
        <w:pStyle w:val="Heading1"/>
        <w:keepNext/>
      </w:pPr>
      <w:r>
        <w:t>7. What this module must not become</w:t>
      </w:r>
    </w:p>
    <w:p>
      <w:pPr>
        <w:ind w:left="317" w:hanging="259"/>
      </w:pPr>
      <w:r>
        <w:rPr>
          <w:b/>
          <w:color w:val="1F567A"/>
        </w:rPr>
        <w:t xml:space="preserve">• </w:t>
      </w:r>
      <w:r>
        <w:rPr>
          <w:b/>
        </w:rPr>
        <w:t xml:space="preserve">Not km_arabic. </w:t>
      </w:r>
      <w:r>
        <w:t>It must not absorb classes, cohorts, review workflows, or learner telemetry as canonical concerns.</w:t>
      </w:r>
    </w:p>
    <w:p>
      <w:pPr>
        <w:ind w:left="317" w:hanging="259"/>
      </w:pPr>
      <w:r>
        <w:rPr>
          <w:b/>
          <w:color w:val="1F567A"/>
        </w:rPr>
        <w:t xml:space="preserve">• </w:t>
      </w:r>
      <w:r>
        <w:rPr>
          <w:b/>
        </w:rPr>
        <w:t xml:space="preserve">Not km_quran. </w:t>
      </w:r>
      <w:r>
        <w:t>It must not claim ownership of surah-level meaning, tafsir interpretation, or argumentation as if those were purely linguistic.</w:t>
      </w:r>
    </w:p>
    <w:p>
      <w:pPr>
        <w:ind w:left="317" w:hanging="259"/>
      </w:pPr>
      <w:r>
        <w:rPr>
          <w:b/>
          <w:color w:val="1F567A"/>
        </w:rPr>
        <w:t xml:space="preserve">• </w:t>
      </w:r>
      <w:r>
        <w:rPr>
          <w:b/>
        </w:rPr>
        <w:t xml:space="preserve">Not km_content. </w:t>
      </w:r>
      <w:r>
        <w:t>It should not become a generic document bucket just because some linguistic works are stored as documents or source units elsewhere.</w:t>
      </w:r>
    </w:p>
    <w:p>
      <w:pPr>
        <w:ind w:left="317" w:hanging="259"/>
      </w:pPr>
      <w:r>
        <w:rPr>
          <w:b/>
          <w:color w:val="1F567A"/>
        </w:rPr>
        <w:t xml:space="preserve">• </w:t>
      </w:r>
      <w:r>
        <w:rPr>
          <w:b/>
        </w:rPr>
        <w:t xml:space="preserve">Not a flat glossary. </w:t>
      </w:r>
      <w:r>
        <w:t>The shared language layer has to preserve relationships, derivation, paradigms, syntactic functions, rhetorical concepts, and evidence.</w:t>
      </w:r>
    </w:p>
    <w:p>
      <w:pPr>
        <w:pStyle w:val="Heading1"/>
        <w:keepNext/>
      </w:pPr>
      <w:r>
        <w:t>8. How other modules consume it</w:t>
      </w:r>
    </w:p>
    <w:p>
      <w:pPr/>
      <w:r>
        <w:t>The module should feed the rest of the system through explicit contracts.</w:t>
      </w:r>
    </w:p>
    <w:p>
      <w:pPr>
        <w:ind w:left="317" w:hanging="259"/>
      </w:pPr>
      <w:r>
        <w:rPr>
          <w:b/>
          <w:color w:val="1F567A"/>
        </w:rPr>
        <w:t xml:space="preserve">• </w:t>
      </w:r>
      <w:r>
        <w:rPr>
          <w:b/>
        </w:rPr>
        <w:t xml:space="preserve">km_quran consumes linguistic enrichment. </w:t>
      </w:r>
      <w:r>
        <w:t>Qur'anic word occurrences can link to canonical roots, lemmas, patterns, expressions, near-synonym sets, and rhetorical registries without giving away interpretive ownership.</w:t>
      </w:r>
    </w:p>
    <w:p>
      <w:pPr>
        <w:ind w:left="317" w:hanging="259"/>
      </w:pPr>
      <w:r>
        <w:rPr>
          <w:b/>
          <w:color w:val="1F567A"/>
        </w:rPr>
        <w:t xml:space="preserve">• </w:t>
      </w:r>
      <w:r>
        <w:rPr>
          <w:b/>
        </w:rPr>
        <w:t xml:space="preserve">km_arabic consumes knowledge trees. </w:t>
      </w:r>
      <w:r>
        <w:t>Lessons, classes, fluency tracks, and Duolingo-style app surfaces should request structured linguistic packets from the shared module rather than hard-coding their own grammar truth.</w:t>
      </w:r>
    </w:p>
    <w:p>
      <w:pPr>
        <w:ind w:left="317" w:hanging="259"/>
      </w:pPr>
      <w:r>
        <w:rPr>
          <w:b/>
          <w:color w:val="1F567A"/>
        </w:rPr>
        <w:t xml:space="preserve">• </w:t>
      </w:r>
      <w:r>
        <w:rPr>
          <w:b/>
        </w:rPr>
        <w:t xml:space="preserve">km_content consumes citation-ready source material. </w:t>
      </w:r>
      <w:r>
        <w:t>Documents and notes can point to linguistic concepts, source chunks, or sense entries through typed refs.</w:t>
      </w:r>
    </w:p>
    <w:p>
      <w:pPr>
        <w:ind w:left="317" w:hanging="259"/>
      </w:pPr>
      <w:r>
        <w:rPr>
          <w:b/>
          <w:color w:val="1F567A"/>
        </w:rPr>
        <w:t xml:space="preserve">• </w:t>
      </w:r>
      <w:r>
        <w:rPr>
          <w:b/>
        </w:rPr>
        <w:t xml:space="preserve">km_worldview may consume downstream concepts. </w:t>
      </w:r>
      <w:r>
        <w:t>If worldview maps use linguistic distinctions, those are projections from this module, not replacements for it.</w:t>
      </w:r>
    </w:p>
    <w:p>
      <w:pPr>
        <w:pStyle w:val="Heading1"/>
        <w:keepNext/>
      </w:pPr>
      <w:r>
        <w:t>9. Why the rename matters</w:t>
      </w:r>
    </w:p>
    <w:p>
      <w:pPr/>
      <w:r>
        <w:t>The name km_lexicon is too narrow for the semantic load the module actually carries. The corrected name km_arabic_linguistic better reflects that the module owns not only lexicon but the broader architecture of Arabic linguistic sciences: roots, lemmas, morphology, sarf, nahw, balagha, expressions, and their evidence.</w:t>
      </w:r>
    </w:p>
    <w:p>
      <w:pPr/>
      <w:r>
        <w:t>In practice, you may still keep a short integration namespace such as LX:* for compatibility during migration, but the conceptual module identity should be km_arabic_linguistic so developers do not mistake it for a single dictionary layer.</w:t>
      </w:r>
    </w:p>
    <w:p>
      <w:pPr>
        <w:pStyle w:val="Heading1"/>
        <w:keepNext/>
      </w:pPr>
      <w:r>
        <w:t>10. Final doctrine statement</w:t>
      </w:r>
    </w:p>
    <w:tbl>
      <w:tblPr>
        <w:tblW w:type="auto" w:w="0"/>
        <w:jc w:val="left"/>
        <w:tblLayout w:type="fixed"/>
        <w:tblLook w:firstColumn="1" w:firstRow="1" w:lastColumn="0" w:lastRow="0" w:noHBand="0" w:noVBand="1" w:val="04A0"/>
        <w:tblBorders>
          <w:top w:val="single" w:sz="8" w:space="0" w:color="8DAEC2"/>
          <w:left w:val="single" w:sz="8" w:space="0" w:color="8DAEC2"/>
          <w:bottom w:val="single" w:sz="8" w:space="0" w:color="8DAEC2"/>
          <w:right w:val="single" w:sz="8" w:space="0" w:color="8DAEC2"/>
          <w:insideH w:val="single" w:sz="8" w:space="0" w:color="8DAEC2"/>
          <w:insideV w:val="single" w:sz="8" w:space="0" w:color="8DAEC2"/>
        </w:tblBorders>
      </w:tblPr>
      <w:tblGrid>
        <w:gridCol w:w="9360"/>
      </w:tblGrid>
      <w:tr>
        <w:tc>
          <w:tcPr>
            <w:tcW w:type="dxa" w:w="9994"/>
            <w:shd w:fill="EEF4F8"/>
            <w:tcMar>
              <w:top w:w="140" w:type="dxa"/>
              <w:start w:w="170" w:type="dxa"/>
              <w:bottom w:w="140" w:type="dxa"/>
              <w:end w:w="170" w:type="dxa"/>
            </w:tcMar>
          </w:tcPr>
          <w:p>
            <w:pPr>
              <w:pStyle w:val="Callout"/>
            </w:pPr>
            <w:r>
              <w:t>km_arabic_linguistic is the shared Arabic linguistic truth module of the platform. It canonically owns roots, lemmas, morphology, sarf, nahw, balagha, lexicon, expressions, and evidence-backed linguistic sources. It serves Qur'an analysis, Arabic pedagogy, authoring, and future app delivery surfaces, but it is not reducible to any one of them. Its job is to preserve Arabic linguistic knowledge once, deeply, and correctly, so the rest of the system can build on it without duplicating or distorting it.</w:t>
            </w:r>
          </w:p>
        </w:tc>
      </w:tr>
    </w:tbl>
    <w:p/>
    <w:p>
      <w:pPr/>
      <w:r>
        <w:t>Build consequence: if a row says something canonical about Arabic linguistic structure, derivation, syntax, rhetoric, lexical meaning, expression, or evidence, it belongs here. If it mainly says something about learner progression, lesson delivery, or module-specific interpretation, it belongs elsewhere.</w:t>
      </w:r>
    </w:p>
    <w:sectPr w:rsidR="00FC693F" w:rsidRPr="0006063C" w:rsidSect="00034616">
      <w:headerReference w:type="default" r:id="rId9"/>
      <w:footerReference w:type="default" r:id="rId10"/>
      <w:pgSz w:w="12240" w:h="15840"/>
      <w:pgMar w:top="1080" w:right="1123" w:bottom="936"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Small"/>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dySmall"/>
      <w:jc w:val="right"/>
    </w:pPr>
    <w:r>
      <w:t>KM-Arabic-Linguistic Philosophy and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04A66"/>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B5A7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pPr>
    <w:rPr>
      <w:rFonts w:asciiTheme="majorHAnsi" w:eastAsiaTheme="majorEastAsia" w:hAnsiTheme="majorHAnsi" w:cstheme="majorBidi" w:ascii="Aptos" w:hAnsi="Aptos"/>
      <w:b w:val="0"/>
      <w:i/>
      <w:iCs/>
      <w:color w:val="4763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after="80"/>
    </w:pPr>
    <w:rPr>
      <w:rFonts w:ascii="Aptos" w:hAnsi="Aptos"/>
      <w:color w:val="4B5E6A"/>
      <w:sz w:val="18"/>
    </w:rPr>
  </w:style>
  <w:style w:type="paragraph" w:customStyle="1" w:styleId="Callout">
    <w:name w:val="Callout"/>
    <w:pPr>
      <w:spacing w:after="120"/>
    </w:pPr>
    <w:rPr>
      <w:rFonts w:ascii="Aptos" w:hAnsi="Aptos"/>
      <w:i/>
      <w:color w:val="274F6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