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t>KM-System Database Architecture</w:t>
      </w:r>
    </w:p>
    <w:p>
      <w:pPr>
        <w:pStyle w:val="SubTitleStyle"/>
        <w:jc w:val="center"/>
      </w:pPr>
      <w:r>
        <w:t>Canonical schema direction for km_core, km_content, km_planner, and the platform sharing/execution substrate</w:t>
      </w:r>
    </w:p>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4968"/>
        <w:gridCol w:w="4968"/>
      </w:tblGrid>
      <w:tr>
        <w:tc>
          <w:tcPr>
            <w:tcW w:type="dxa" w:w="2736"/>
            <w:vAlign w:val="center"/>
            <w:shd w:fill="EAF1F8"/>
          </w:tcPr>
          <w:p>
            <w:pPr/>
            <w:r>
              <w:rPr>
                <w:b/>
                <w:color w:val="1F4E79"/>
              </w:rPr>
              <w:t>Scope</w:t>
            </w:r>
          </w:p>
        </w:tc>
        <w:tc>
          <w:tcPr>
            <w:tcW w:type="dxa" w:w="6624"/>
            <w:vAlign w:val="center"/>
          </w:tcPr>
          <w:p>
            <w:pPr/>
            <w:r>
              <w:t>System-side shared platform doctrine: km_core + km_content + km_planner, plus the platform rules that enable private, workspace, and public collaboration.</w:t>
            </w:r>
          </w:p>
        </w:tc>
      </w:tr>
      <w:tr>
        <w:tc>
          <w:tcPr>
            <w:tcW w:type="dxa" w:w="2736"/>
            <w:vAlign w:val="center"/>
            <w:shd w:fill="EAF1F8"/>
          </w:tcPr>
          <w:p>
            <w:pPr/>
            <w:r>
              <w:rPr>
                <w:b/>
                <w:color w:val="1F4E79"/>
              </w:rPr>
              <w:t>Date</w:t>
            </w:r>
          </w:p>
        </w:tc>
        <w:tc>
          <w:tcPr>
            <w:tcW w:type="dxa" w:w="6624"/>
            <w:vAlign w:val="center"/>
          </w:tcPr>
          <w:p>
            <w:pPr/>
            <w:r>
              <w:t>18 April 2026</w:t>
            </w:r>
          </w:p>
        </w:tc>
      </w:tr>
      <w:tr>
        <w:tc>
          <w:tcPr>
            <w:tcW w:type="dxa" w:w="2736"/>
            <w:vAlign w:val="center"/>
            <w:shd w:fill="EAF1F8"/>
          </w:tcPr>
          <w:p>
            <w:pPr/>
            <w:r>
              <w:rPr>
                <w:b/>
                <w:color w:val="1F4E79"/>
              </w:rPr>
              <w:t>Purpose</w:t>
            </w:r>
          </w:p>
        </w:tc>
        <w:tc>
          <w:tcPr>
            <w:tcW w:type="dxa" w:w="6624"/>
            <w:vAlign w:val="center"/>
          </w:tcPr>
          <w:p>
            <w:pPr/>
            <w:r>
              <w:t>Define how access, content, classrooms, enrolments, publishing, and operational tasks work without leaking domain truth into the wrong module.</w:t>
            </w:r>
          </w:p>
        </w:tc>
      </w:tr>
    </w:tbl>
    <w:p/>
    <w:p>
      <w:pPr>
        <w:pStyle w:val="Callout"/>
        <w:ind w:left="288" w:right="288"/>
      </w:pPr>
      <w:r>
        <w:rPr>
          <w:b/>
        </w:rPr>
        <w:t xml:space="preserve">Canonical system doctrine. </w:t>
      </w:r>
      <w:r>
        <w:t>Privacy, publishing, document sharing, classroom delivery, and task execution are platform capabilities. Domain modules declare what may be shared or assigned; the system layer determines how it is shared, published, governed, and operationalized.</w:t>
      </w:r>
    </w:p>
    <w:p>
      <w:r>
        <w:br w:type="page"/>
      </w:r>
    </w:p>
    <w:p>
      <w:pPr>
        <w:pStyle w:val="SectionHeading"/>
      </w:pPr>
      <w:r>
        <w:t>1. Scope and system position</w:t>
      </w:r>
    </w:p>
    <w:p>
      <w:r>
        <w:t>This document covers the system-side architecture rather than a single domain module. Its scope is the shared operational and collaboration substrate that the rest of K-Maps depends on: km_core, km_content, km_planner, and the generic rules that let notes, classes, documents, enrolments, media, assignments, and public publishing work consistently.</w:t>
      </w:r>
    </w:p>
    <w:p>
      <w:r>
        <w:t>The deepest correction in the canonical architecture is that privacy and sharing must not be reimplemented per module. The second correction is that documents, notes, comments, sources, transcripts, and publications must live in one content layer rather than being hidden inside worldview or Arabic. The third is that planner stays execution-only while still being rich enough to package work for classes, reviews, teams, and study programs.</w:t>
      </w:r>
    </w:p>
    <w:p>
      <w:pPr>
        <w:pStyle w:val="SubHeading"/>
      </w:pPr>
      <w:r>
        <w:t>Module boundary summary</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1728"/>
            <w:vAlign w:val="center"/>
            <w:shd w:fill="EAF1F8"/>
          </w:tcPr>
          <w:p>
            <w:r>
              <w:rPr>
                <w:b/>
                <w:color w:val="1F4E79"/>
              </w:rPr>
              <w:t>Module</w:t>
            </w:r>
          </w:p>
        </w:tc>
        <w:tc>
          <w:tcPr>
            <w:tcW w:type="dxa" w:w="4680"/>
            <w:vAlign w:val="center"/>
            <w:shd w:fill="EAF1F8"/>
          </w:tcPr>
          <w:p>
            <w:r>
              <w:rPr>
                <w:b/>
                <w:color w:val="1F4E79"/>
              </w:rPr>
              <w:t>Canonical families</w:t>
            </w:r>
          </w:p>
        </w:tc>
        <w:tc>
          <w:tcPr>
            <w:tcW w:type="dxa" w:w="3096"/>
            <w:vAlign w:val="center"/>
            <w:shd w:fill="EAF1F8"/>
          </w:tcPr>
          <w:p>
            <w:r>
              <w:rPr>
                <w:b/>
                <w:color w:val="1F4E79"/>
              </w:rPr>
              <w:t>Must not own</w:t>
            </w:r>
          </w:p>
        </w:tc>
      </w:tr>
      <w:tr>
        <w:tc>
          <w:tcPr>
            <w:tcW w:type="dxa" w:w="3312"/>
            <w:vAlign w:val="center"/>
          </w:tcPr>
          <w:p>
            <w:r>
              <w:t>km_core</w:t>
            </w:r>
          </w:p>
        </w:tc>
        <w:tc>
          <w:tcPr>
            <w:tcW w:type="dxa" w:w="3312"/>
            <w:vAlign w:val="center"/>
          </w:tcPr>
          <w:p>
            <w:r>
              <w:t>Users, workspaces, groups, roles, workspace policies, resource policies, grants, external refs, audit envelopes</w:t>
            </w:r>
          </w:p>
        </w:tc>
        <w:tc>
          <w:tcPr>
            <w:tcW w:type="dxa" w:w="3312"/>
            <w:vAlign w:val="center"/>
          </w:tcPr>
          <w:p>
            <w:r>
              <w:t>Domain semantics, documents, planner payload copies</w:t>
            </w:r>
          </w:p>
        </w:tc>
      </w:tr>
      <w:tr>
        <w:tc>
          <w:tcPr>
            <w:tcW w:type="dxa" w:w="3312"/>
            <w:vAlign w:val="center"/>
          </w:tcPr>
          <w:p>
            <w:r>
              <w:t>km_content</w:t>
            </w:r>
          </w:p>
        </w:tc>
        <w:tc>
          <w:tcPr>
            <w:tcW w:type="dxa" w:w="3312"/>
            <w:vAlign w:val="center"/>
          </w:tcPr>
          <w:p>
            <w:r>
              <w:t>Documents, notes, blocks, versions, comments, source units, media assets, transcripts, captures, highlights, publications</w:t>
            </w:r>
          </w:p>
        </w:tc>
        <w:tc>
          <w:tcPr>
            <w:tcW w:type="dxa" w:w="3312"/>
            <w:vAlign w:val="center"/>
          </w:tcPr>
          <w:p>
            <w:r>
              <w:t>Canonical Qur’an, linguistics, Arabic pedagogy, or worldview truth</w:t>
            </w:r>
          </w:p>
        </w:tc>
      </w:tr>
      <w:tr>
        <w:tc>
          <w:tcPr>
            <w:tcW w:type="dxa" w:w="3312"/>
            <w:vAlign w:val="center"/>
          </w:tcPr>
          <w:p>
            <w:r>
              <w:t>km_planner</w:t>
            </w:r>
          </w:p>
        </w:tc>
        <w:tc>
          <w:tcPr>
            <w:tcW w:type="dxa" w:w="3312"/>
            <w:vAlign w:val="center"/>
          </w:tcPr>
          <w:p>
            <w:r>
              <w:t>Plans, lanes, weekly tasks, operational packets, dependencies, assignee pivots, review cycles</w:t>
            </w:r>
          </w:p>
        </w:tc>
        <w:tc>
          <w:tcPr>
            <w:tcW w:type="dxa" w:w="3312"/>
            <w:vAlign w:val="center"/>
          </w:tcPr>
          <w:p>
            <w:r>
              <w:t>Canonical scholarly truth or generic document ownership</w:t>
            </w:r>
          </w:p>
        </w:tc>
      </w:tr>
    </w:tbl>
    <w:p/>
    <w:p>
      <w:pPr>
        <w:pStyle w:val="SectionHeading"/>
      </w:pPr>
      <w:r>
        <w:t>2. km_core — policy, identity, workspace, and grants</w:t>
      </w:r>
    </w:p>
    <w:p>
      <w:r>
        <w:t>km_core should remain thin in semantic ownership and deep in operational authority. It is the place where the platform knows who a subject is, what workspace context they are acting in, which policy caps apply, which grants they hold, and how a typed legacy identifier maps into the modular world. It is deliberately not a public content store.</w:t>
      </w:r>
    </w:p>
    <w:p>
      <w:r>
        <w:t>The canonical additions required by your newer drafts are the policy substrate families: workspace-level caps, per-resource policies, explicit grants, and external reference maps. Without them, every module falls back to ad hoc visibility columns and one-off link tables.</w:t>
      </w:r>
    </w:p>
    <w:p>
      <w:pPr>
        <w:pStyle w:val="SubHeading"/>
      </w:pPr>
      <w:r>
        <w:t>Recommended km_core families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2880"/>
            <w:vAlign w:val="center"/>
            <w:shd w:fill="EAF1F8"/>
          </w:tcPr>
          <w:p>
            <w:r>
              <w:rPr>
                <w:b/>
                <w:color w:val="1F4E79"/>
              </w:rPr>
              <w:t>Family</w:t>
            </w:r>
          </w:p>
        </w:tc>
        <w:tc>
          <w:tcPr>
            <w:tcW w:type="dxa" w:w="2592"/>
            <w:vAlign w:val="center"/>
            <w:shd w:fill="EAF1F8"/>
          </w:tcPr>
          <w:p>
            <w:r>
              <w:rPr>
                <w:b/>
                <w:color w:val="1F4E79"/>
              </w:rPr>
              <w:t>Purpose</w:t>
            </w:r>
          </w:p>
        </w:tc>
        <w:tc>
          <w:tcPr>
            <w:tcW w:type="dxa" w:w="3888"/>
            <w:vAlign w:val="center"/>
            <w:shd w:fill="EAF1F8"/>
          </w:tcPr>
          <w:p>
            <w:r>
              <w:rPr>
                <w:b/>
                <w:color w:val="1F4E79"/>
              </w:rPr>
              <w:t>Key fields or ideas</w:t>
            </w:r>
          </w:p>
        </w:tc>
      </w:tr>
      <w:tr>
        <w:tc>
          <w:tcPr>
            <w:tcW w:type="dxa" w:w="3312"/>
            <w:vAlign w:val="center"/>
          </w:tcPr>
          <w:p>
            <w:r>
              <w:t>core_users / core_subjects</w:t>
            </w:r>
          </w:p>
        </w:tc>
        <w:tc>
          <w:tcPr>
            <w:tcW w:type="dxa" w:w="3312"/>
            <w:vAlign w:val="center"/>
          </w:tcPr>
          <w:p>
            <w:r>
              <w:t>Identity subjects</w:t>
            </w:r>
          </w:p>
        </w:tc>
        <w:tc>
          <w:tcPr>
            <w:tcW w:type="dxa" w:w="3312"/>
            <w:vAlign w:val="center"/>
          </w:tcPr>
          <w:p>
            <w:r>
              <w:t>user type, account status, profile, auth bindings</w:t>
            </w:r>
          </w:p>
        </w:tc>
      </w:tr>
      <w:tr>
        <w:tc>
          <w:tcPr>
            <w:tcW w:type="dxa" w:w="3312"/>
            <w:vAlign w:val="center"/>
          </w:tcPr>
          <w:p>
            <w:r>
              <w:t>core_workspaces</w:t>
            </w:r>
          </w:p>
        </w:tc>
        <w:tc>
          <w:tcPr>
            <w:tcW w:type="dxa" w:w="3312"/>
            <w:vAlign w:val="center"/>
          </w:tcPr>
          <w:p>
            <w:r>
              <w:t>Collaboration envelopes</w:t>
            </w:r>
          </w:p>
        </w:tc>
        <w:tc>
          <w:tcPr>
            <w:tcW w:type="dxa" w:w="3312"/>
            <w:vAlign w:val="center"/>
          </w:tcPr>
          <w:p>
            <w:r>
              <w:t>workspace_type, owner_user_ref, status, settings</w:t>
            </w:r>
          </w:p>
        </w:tc>
      </w:tr>
      <w:tr>
        <w:tc>
          <w:tcPr>
            <w:tcW w:type="dxa" w:w="3312"/>
            <w:vAlign w:val="center"/>
          </w:tcPr>
          <w:p>
            <w:r>
              <w:t>core_workspace_members / roles / groups</w:t>
            </w:r>
          </w:p>
        </w:tc>
        <w:tc>
          <w:tcPr>
            <w:tcW w:type="dxa" w:w="3312"/>
            <w:vAlign w:val="center"/>
          </w:tcPr>
          <w:p>
            <w:r>
              <w:t>Membership and role graph</w:t>
            </w:r>
          </w:p>
        </w:tc>
        <w:tc>
          <w:tcPr>
            <w:tcW w:type="dxa" w:w="3312"/>
            <w:vAlign w:val="center"/>
          </w:tcPr>
          <w:p>
            <w:r>
              <w:t>membership_role, role_key, permissions_json, lifecycle state</w:t>
            </w:r>
          </w:p>
        </w:tc>
      </w:tr>
      <w:tr>
        <w:tc>
          <w:tcPr>
            <w:tcW w:type="dxa" w:w="3312"/>
            <w:vAlign w:val="center"/>
          </w:tcPr>
          <w:p>
            <w:r>
              <w:t>core_workspace_policies</w:t>
            </w:r>
          </w:p>
        </w:tc>
        <w:tc>
          <w:tcPr>
            <w:tcW w:type="dxa" w:w="3312"/>
            <w:vAlign w:val="center"/>
          </w:tcPr>
          <w:p>
            <w:r>
              <w:t>Workspace caps</w:t>
            </w:r>
          </w:p>
        </w:tc>
        <w:tc>
          <w:tcPr>
            <w:tcW w:type="dxa" w:w="3312"/>
            <w:vAlign w:val="center"/>
          </w:tcPr>
          <w:p>
            <w:r>
              <w:t>allowed_max_visibility, allow_public_publish, guest rules, discovery defaults</w:t>
            </w:r>
          </w:p>
        </w:tc>
      </w:tr>
      <w:tr>
        <w:tc>
          <w:tcPr>
            <w:tcW w:type="dxa" w:w="3312"/>
            <w:vAlign w:val="center"/>
          </w:tcPr>
          <w:p>
            <w:r>
              <w:t>core_resource_policies</w:t>
            </w:r>
          </w:p>
        </w:tc>
        <w:tc>
          <w:tcPr>
            <w:tcW w:type="dxa" w:w="3312"/>
            <w:vAlign w:val="center"/>
          </w:tcPr>
          <w:p>
            <w:r>
              <w:t>One row per governed resource_ref</w:t>
            </w:r>
          </w:p>
        </w:tc>
        <w:tc>
          <w:tcPr>
            <w:tcW w:type="dxa" w:w="3312"/>
            <w:vAlign w:val="center"/>
          </w:tcPr>
          <w:p>
            <w:r>
              <w:t>visibility_scope, publication_state, discoverability, owner context</w:t>
            </w:r>
          </w:p>
        </w:tc>
      </w:tr>
      <w:tr>
        <w:tc>
          <w:tcPr>
            <w:tcW w:type="dxa" w:w="3312"/>
            <w:vAlign w:val="center"/>
          </w:tcPr>
          <w:p>
            <w:r>
              <w:t>core_resource_grants</w:t>
            </w:r>
          </w:p>
        </w:tc>
        <w:tc>
          <w:tcPr>
            <w:tcW w:type="dxa" w:w="3312"/>
            <w:vAlign w:val="center"/>
          </w:tcPr>
          <w:p>
            <w:r>
              <w:t>Explicit exceptions</w:t>
            </w:r>
          </w:p>
        </w:tc>
        <w:tc>
          <w:tcPr>
            <w:tcW w:type="dxa" w:w="3312"/>
            <w:vAlign w:val="center"/>
          </w:tcPr>
          <w:p>
            <w:r>
              <w:t>subject_ref, access_role, expires_at, inheritance_break</w:t>
            </w:r>
          </w:p>
        </w:tc>
      </w:tr>
      <w:tr>
        <w:tc>
          <w:tcPr>
            <w:tcW w:type="dxa" w:w="3312"/>
            <w:vAlign w:val="center"/>
          </w:tcPr>
          <w:p>
            <w:r>
              <w:t>core_external_refs</w:t>
            </w:r>
          </w:p>
        </w:tc>
        <w:tc>
          <w:tcPr>
            <w:tcW w:type="dxa" w:w="3312"/>
            <w:vAlign w:val="center"/>
          </w:tcPr>
          <w:p>
            <w:r>
              <w:t>Legacy-to-new continuity</w:t>
            </w:r>
          </w:p>
        </w:tc>
        <w:tc>
          <w:tcPr>
            <w:tcW w:type="dxa" w:w="3312"/>
            <w:vAlign w:val="center"/>
          </w:tcPr>
          <w:p>
            <w:r>
              <w:t>legacy source, legacy id, typed ref target, migration provenance</w:t>
            </w:r>
          </w:p>
        </w:tc>
      </w:tr>
    </w:tbl>
    <w:p/>
    <w:p>
      <w:pPr>
        <w:pStyle w:val="SectionHeading"/>
      </w:pPr>
      <w:r>
        <w:t>3. Access model and inheritance chain</w:t>
      </w:r>
    </w:p>
    <w:p>
      <w:r>
        <w:t>The system needs one generic access model that can govern documents, notes, classes, curriculum packages, media distributions, and planner packets. That model should not be embedded only in a content table, because classes and planner packets also need to consume it. Nor should it be only a workspace setting, because many resources need item-level exceptions.</w:t>
      </w:r>
    </w:p>
    <w:p>
      <w:r>
        <w:t>The correct inheritance chain is: workspace default → collection/container default → item override → explicit grants. Publication state should remain orthogonal to visibility so that a resource can be archived but still public, in review while still private, or published but workspace-only.</w:t>
      </w:r>
    </w:p>
    <w:p>
      <w:pPr>
        <w:ind w:left="317" w:hanging="259"/>
      </w:pPr>
      <w:r>
        <w:t>• Do not make visibility and publication the same enum.</w:t>
      </w:r>
    </w:p>
    <w:p>
      <w:pPr>
        <w:ind w:left="317" w:hanging="259"/>
      </w:pPr>
      <w:r>
        <w:t>• Do not let grant rows silently bypass workspace caps without an explicit override flag.</w:t>
      </w:r>
    </w:p>
    <w:p>
      <w:pPr>
        <w:ind w:left="317" w:hanging="259"/>
      </w:pPr>
      <w:r>
        <w:t>• Discoverability should be queryable and indexable on its own.</w:t>
      </w:r>
    </w:p>
    <w:p>
      <w:pPr>
        <w:ind w:left="317" w:hanging="259"/>
      </w:pPr>
      <w:r>
        <w:t>• Role ladders should be reusable across documents, class resources, and other governed artifacts.</w:t>
      </w:r>
    </w:p>
    <w:p>
      <w:pPr>
        <w:pStyle w:val="SubHeading"/>
      </w:pPr>
      <w:r>
        <w:t>Policy model</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2232"/>
            <w:vAlign w:val="center"/>
            <w:shd w:fill="EAF1F8"/>
          </w:tcPr>
          <w:p>
            <w:r>
              <w:rPr>
                <w:b/>
                <w:color w:val="1F4E79"/>
              </w:rPr>
              <w:t>Layer</w:t>
            </w:r>
          </w:p>
        </w:tc>
        <w:tc>
          <w:tcPr>
            <w:tcW w:type="dxa" w:w="3672"/>
            <w:vAlign w:val="center"/>
            <w:shd w:fill="EAF1F8"/>
          </w:tcPr>
          <w:p>
            <w:r>
              <w:rPr>
                <w:b/>
                <w:color w:val="1F4E79"/>
              </w:rPr>
              <w:t>What it controls</w:t>
            </w:r>
          </w:p>
        </w:tc>
        <w:tc>
          <w:tcPr>
            <w:tcW w:type="dxa" w:w="3456"/>
            <w:vAlign w:val="center"/>
            <w:shd w:fill="EAF1F8"/>
          </w:tcPr>
          <w:p>
            <w:r>
              <w:rPr>
                <w:b/>
                <w:color w:val="1F4E79"/>
              </w:rPr>
              <w:t>Representative values</w:t>
            </w:r>
          </w:p>
        </w:tc>
      </w:tr>
      <w:tr>
        <w:tc>
          <w:tcPr>
            <w:tcW w:type="dxa" w:w="3312"/>
            <w:vAlign w:val="center"/>
          </w:tcPr>
          <w:p>
            <w:r>
              <w:t>Workspace default</w:t>
            </w:r>
          </w:p>
        </w:tc>
        <w:tc>
          <w:tcPr>
            <w:tcW w:type="dxa" w:w="3312"/>
            <w:vAlign w:val="center"/>
          </w:tcPr>
          <w:p>
            <w:r>
              <w:t>Maximum sharing posture and default discovery</w:t>
            </w:r>
          </w:p>
        </w:tc>
        <w:tc>
          <w:tcPr>
            <w:tcW w:type="dxa" w:w="3312"/>
            <w:vAlign w:val="center"/>
          </w:tcPr>
          <w:p>
            <w:r>
              <w:t>workspace only, allow link share, allow public publish</w:t>
            </w:r>
          </w:p>
        </w:tc>
      </w:tr>
      <w:tr>
        <w:tc>
          <w:tcPr>
            <w:tcW w:type="dxa" w:w="3312"/>
            <w:vAlign w:val="center"/>
          </w:tcPr>
          <w:p>
            <w:r>
              <w:t>Collection/container default</w:t>
            </w:r>
          </w:p>
        </w:tc>
        <w:tc>
          <w:tcPr>
            <w:tcW w:type="dxa" w:w="3312"/>
            <w:vAlign w:val="center"/>
          </w:tcPr>
          <w:p>
            <w:r>
              <w:t>Notebook, document set, class, curriculum bundle defaults</w:t>
            </w:r>
          </w:p>
        </w:tc>
        <w:tc>
          <w:tcPr>
            <w:tcW w:type="dxa" w:w="3312"/>
            <w:vAlign w:val="center"/>
          </w:tcPr>
          <w:p>
            <w:r>
              <w:t>private by default, workspace searchable, teacher-only comments</w:t>
            </w:r>
          </w:p>
        </w:tc>
      </w:tr>
      <w:tr>
        <w:tc>
          <w:tcPr>
            <w:tcW w:type="dxa" w:w="3312"/>
            <w:vAlign w:val="center"/>
          </w:tcPr>
          <w:p>
            <w:r>
              <w:t>Item override</w:t>
            </w:r>
          </w:p>
        </w:tc>
        <w:tc>
          <w:tcPr>
            <w:tcW w:type="dxa" w:w="3312"/>
            <w:vAlign w:val="center"/>
          </w:tcPr>
          <w:p>
            <w:r>
              <w:t>Specific resource exception</w:t>
            </w:r>
          </w:p>
        </w:tc>
        <w:tc>
          <w:tcPr>
            <w:tcW w:type="dxa" w:w="3312"/>
            <w:vAlign w:val="center"/>
          </w:tcPr>
          <w:p>
            <w:r>
              <w:t>public handout, private teacher notes, comment-restricted publication</w:t>
            </w:r>
          </w:p>
        </w:tc>
      </w:tr>
      <w:tr>
        <w:tc>
          <w:tcPr>
            <w:tcW w:type="dxa" w:w="3312"/>
            <w:vAlign w:val="center"/>
          </w:tcPr>
          <w:p>
            <w:r>
              <w:t>Explicit grants</w:t>
            </w:r>
          </w:p>
        </w:tc>
        <w:tc>
          <w:tcPr>
            <w:tcW w:type="dxa" w:w="3312"/>
            <w:vAlign w:val="center"/>
          </w:tcPr>
          <w:p>
            <w:r>
              <w:t>User/group/role exception</w:t>
            </w:r>
          </w:p>
        </w:tc>
        <w:tc>
          <w:tcPr>
            <w:tcW w:type="dxa" w:w="3312"/>
            <w:vAlign w:val="center"/>
          </w:tcPr>
          <w:p>
            <w:r>
              <w:t>viewer/commenter/editor/manager with expiry or inheritance break</w:t>
            </w:r>
          </w:p>
        </w:tc>
      </w:tr>
    </w:tbl>
    <w:p/>
    <w:p>
      <w:pPr>
        <w:pStyle w:val="SectionHeading"/>
      </w:pPr>
      <w:r>
        <w:t>4. km_content — shared authored artifact engine</w:t>
      </w:r>
    </w:p>
    <w:p>
      <w:r>
        <w:t>km_content is the custody layer for authored and reusable artifacts. It owns the representations that humans write, revise, comment on, annotate, publish, and reuse: documents, notes, captures, source units, transcript fragments, highlights, comments, and media-linked pages. It also owns the publication and distribution surfaces that turn internal authored resources into public or controlled outputs.</w:t>
      </w:r>
    </w:p>
    <w:p>
      <w:r>
        <w:t>The key architecture rule is that content is shared but not semantically sovereign over domain truth. A document about a surah is still a CM document. A note about a worldview claim is still a CM note. The canonical claim or surah profile remains in its owner module and the content artifact points to it through typed links.</w:t>
      </w:r>
    </w:p>
    <w:p>
      <w:pPr>
        <w:pStyle w:val="SubHeading"/>
      </w:pPr>
      <w:r>
        <w:t>Recommended km_content families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3168"/>
            <w:vAlign w:val="center"/>
            <w:shd w:fill="EAF1F8"/>
          </w:tcPr>
          <w:p>
            <w:r>
              <w:rPr>
                <w:b/>
                <w:color w:val="1F4E79"/>
              </w:rPr>
              <w:t>Family</w:t>
            </w:r>
          </w:p>
        </w:tc>
        <w:tc>
          <w:tcPr>
            <w:tcW w:type="dxa" w:w="2448"/>
            <w:vAlign w:val="center"/>
            <w:shd w:fill="EAF1F8"/>
          </w:tcPr>
          <w:p>
            <w:r>
              <w:rPr>
                <w:b/>
                <w:color w:val="1F4E79"/>
              </w:rPr>
              <w:t>Role</w:t>
            </w:r>
          </w:p>
        </w:tc>
        <w:tc>
          <w:tcPr>
            <w:tcW w:type="dxa" w:w="3744"/>
            <w:vAlign w:val="center"/>
            <w:shd w:fill="EAF1F8"/>
          </w:tcPr>
          <w:p>
            <w:r>
              <w:rPr>
                <w:b/>
                <w:color w:val="1F4E79"/>
              </w:rPr>
              <w:t>Typical typed links</w:t>
            </w:r>
          </w:p>
        </w:tc>
      </w:tr>
      <w:tr>
        <w:tc>
          <w:tcPr>
            <w:tcW w:type="dxa" w:w="3312"/>
            <w:vAlign w:val="center"/>
          </w:tcPr>
          <w:p>
            <w:r>
              <w:t>cm_documents / cm_document_blocks / cm_document_versions</w:t>
            </w:r>
          </w:p>
        </w:tc>
        <w:tc>
          <w:tcPr>
            <w:tcW w:type="dxa" w:w="3312"/>
            <w:vAlign w:val="center"/>
          </w:tcPr>
          <w:p>
            <w:r>
              <w:t>Authoring core</w:t>
            </w:r>
          </w:p>
        </w:tc>
        <w:tc>
          <w:tcPr>
            <w:tcW w:type="dxa" w:w="3312"/>
            <w:vAlign w:val="center"/>
          </w:tcPr>
          <w:p>
            <w:r>
              <w:t>Targets to QR, AL, AR, WV, or PL through link tables</w:t>
            </w:r>
          </w:p>
        </w:tc>
      </w:tr>
      <w:tr>
        <w:tc>
          <w:tcPr>
            <w:tcW w:type="dxa" w:w="3312"/>
            <w:vAlign w:val="center"/>
          </w:tcPr>
          <w:p>
            <w:r>
              <w:t>cm_notes / cm_note_targets / cm_capture_entries</w:t>
            </w:r>
          </w:p>
        </w:tc>
        <w:tc>
          <w:tcPr>
            <w:tcW w:type="dxa" w:w="3312"/>
            <w:vAlign w:val="center"/>
          </w:tcPr>
          <w:p>
            <w:r>
              <w:t>Fast note-taking and scoped capture</w:t>
            </w:r>
          </w:p>
        </w:tc>
        <w:tc>
          <w:tcPr>
            <w:tcW w:type="dxa" w:w="3312"/>
            <w:vAlign w:val="center"/>
          </w:tcPr>
          <w:p>
            <w:r>
              <w:t>Attach to canonical resources without copying them</w:t>
            </w:r>
          </w:p>
        </w:tc>
      </w:tr>
      <w:tr>
        <w:tc>
          <w:tcPr>
            <w:tcW w:type="dxa" w:w="3312"/>
            <w:vAlign w:val="center"/>
          </w:tcPr>
          <w:p>
            <w:r>
              <w:t>cm_comments / cm_highlights</w:t>
            </w:r>
          </w:p>
        </w:tc>
        <w:tc>
          <w:tcPr>
            <w:tcW w:type="dxa" w:w="3312"/>
            <w:vAlign w:val="center"/>
          </w:tcPr>
          <w:p>
            <w:r>
              <w:t>Inline collaboration and annotation</w:t>
            </w:r>
          </w:p>
        </w:tc>
        <w:tc>
          <w:tcPr>
            <w:tcW w:type="dxa" w:w="3312"/>
            <w:vAlign w:val="center"/>
          </w:tcPr>
          <w:p>
            <w:r>
              <w:t>Governed by the same resource policy substrate</w:t>
            </w:r>
          </w:p>
        </w:tc>
      </w:tr>
      <w:tr>
        <w:tc>
          <w:tcPr>
            <w:tcW w:type="dxa" w:w="3312"/>
            <w:vAlign w:val="center"/>
          </w:tcPr>
          <w:p>
            <w:r>
              <w:t>cm_sources / cm_source_units / cm_source_details</w:t>
            </w:r>
          </w:p>
        </w:tc>
        <w:tc>
          <w:tcPr>
            <w:tcW w:type="dxa" w:w="3312"/>
            <w:vAlign w:val="center"/>
          </w:tcPr>
          <w:p>
            <w:r>
              <w:t>Reusable source registry</w:t>
            </w:r>
          </w:p>
        </w:tc>
        <w:tc>
          <w:tcPr>
            <w:tcW w:type="dxa" w:w="3312"/>
            <w:vAlign w:val="center"/>
          </w:tcPr>
          <w:p>
            <w:r>
              <w:t>Shared textual/media references used across modules</w:t>
            </w:r>
          </w:p>
        </w:tc>
      </w:tr>
      <w:tr>
        <w:tc>
          <w:tcPr>
            <w:tcW w:type="dxa" w:w="3312"/>
            <w:vAlign w:val="center"/>
          </w:tcPr>
          <w:p>
            <w:r>
              <w:t>cm_media_assets / cm_transcripts / cm_audio_scenes</w:t>
            </w:r>
          </w:p>
        </w:tc>
        <w:tc>
          <w:tcPr>
            <w:tcW w:type="dxa" w:w="3312"/>
            <w:vAlign w:val="center"/>
          </w:tcPr>
          <w:p>
            <w:r>
              <w:t>Binary media custody plus transcript segmentation</w:t>
            </w:r>
          </w:p>
        </w:tc>
        <w:tc>
          <w:tcPr>
            <w:tcW w:type="dxa" w:w="3312"/>
            <w:vAlign w:val="center"/>
          </w:tcPr>
          <w:p>
            <w:r>
              <w:t>Reusable by Arabic routes, Qur’an study, worldview work, and publication</w:t>
            </w:r>
          </w:p>
        </w:tc>
      </w:tr>
      <w:tr>
        <w:tc>
          <w:tcPr>
            <w:tcW w:type="dxa" w:w="3312"/>
            <w:vAlign w:val="center"/>
          </w:tcPr>
          <w:p>
            <w:r>
              <w:t>cm_publications / cm_share_links / cm_distributions</w:t>
            </w:r>
          </w:p>
        </w:tc>
        <w:tc>
          <w:tcPr>
            <w:tcW w:type="dxa" w:w="3312"/>
            <w:vAlign w:val="center"/>
          </w:tcPr>
          <w:p>
            <w:r>
              <w:t>Public or controlled release surfaces</w:t>
            </w:r>
          </w:p>
        </w:tc>
        <w:tc>
          <w:tcPr>
            <w:tcW w:type="dxa" w:w="3312"/>
            <w:vAlign w:val="center"/>
          </w:tcPr>
          <w:p>
            <w:r>
              <w:t>Stable URLs and release snapshots separate from drafts</w:t>
            </w:r>
          </w:p>
        </w:tc>
      </w:tr>
    </w:tbl>
    <w:p/>
    <w:p>
      <w:pPr>
        <w:pStyle w:val="SectionHeading"/>
      </w:pPr>
      <w:r>
        <w:t>5. Document sharing and publication implementation</w:t>
      </w:r>
    </w:p>
    <w:p>
      <w:r>
        <w:t>Document sharing should be built on policy rows rather than document-local booleans. That allows the same engine to govern private notes, workspace study pages, public handouts, link-only previews, and published articles. Public snapshots should be materialized so internal editing can continue without destabilizing a public URL.</w:t>
      </w:r>
    </w:p>
    <w:p>
      <w:r>
        <w:t>The publication subsystem should also carry rights and attribution metadata for any artifact that becomes public, especially media-backed curriculum or downloadable learning resources. This is part of the system layer because rights handling is not unique to Arabic or worldview; it is a general publishing concern.</w:t>
      </w:r>
    </w:p>
    <w:p>
      <w:pPr>
        <w:ind w:left="317" w:hanging="259"/>
      </w:pPr>
      <w:r>
        <w:t>• A published document may still limit comment rights to a workspace or invitee list.</w:t>
      </w:r>
    </w:p>
    <w:p>
      <w:pPr>
        <w:ind w:left="317" w:hanging="259"/>
      </w:pPr>
      <w:r>
        <w:t>• A link-only share should support expiry or token controls.</w:t>
      </w:r>
    </w:p>
    <w:p>
      <w:pPr>
        <w:ind w:left="317" w:hanging="259"/>
      </w:pPr>
      <w:r>
        <w:t>• Workspace admins should be able to cap whether members may publish publicly at all.</w:t>
      </w:r>
    </w:p>
    <w:p>
      <w:pPr>
        <w:ind w:left="317" w:hanging="259"/>
      </w:pPr>
      <w:r>
        <w:t>• Public indexing should remain a distinct flag so some public resources stay unindexed.</w:t>
      </w:r>
    </w:p>
    <w:p>
      <w:pPr>
        <w:pStyle w:val="SectionHeading"/>
      </w:pPr>
      <w:r>
        <w:t>6. Classroom, enrolment, and resource assignment support</w:t>
      </w:r>
    </w:p>
    <w:p>
      <w:r>
        <w:t>Although class entities may be domain-specific in their owning module, the system layer must support them with reusable primitives: identity, roles, policy, shared resource attachment, comment flows, submissions, due-date tasks, and publication. This is why the system architecture must explicitly plan for classes rather than pretending they can emerge from generic workspaces alone.</w:t>
      </w:r>
    </w:p>
    <w:p>
      <w:r>
        <w:t>The reusable design pattern is straightforward: a class shell references a workspace for collaboration context, attaches content artifacts from CM, points to canonical domain resources through typed refs, and generates operational packets in PL for assignments, deadlines, and review. Enrolments remain a class-local lifecycle, but the permission and sharing model still comes from CORE.</w:t>
      </w:r>
    </w:p>
    <w:p>
      <w:pPr>
        <w:pStyle w:val="SubHeading"/>
      </w:pPr>
      <w:r>
        <w:t>Classroom-support pattern</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3024"/>
            <w:vAlign w:val="center"/>
            <w:shd w:fill="EAF1F8"/>
          </w:tcPr>
          <w:p>
            <w:r>
              <w:rPr>
                <w:b/>
                <w:color w:val="1F4E79"/>
              </w:rPr>
              <w:t>Concern</w:t>
            </w:r>
          </w:p>
        </w:tc>
        <w:tc>
          <w:tcPr>
            <w:tcW w:type="dxa" w:w="2304"/>
            <w:vAlign w:val="center"/>
            <w:shd w:fill="EAF1F8"/>
          </w:tcPr>
          <w:p>
            <w:r>
              <w:rPr>
                <w:b/>
                <w:color w:val="1F4E79"/>
              </w:rPr>
              <w:t>Best owner</w:t>
            </w:r>
          </w:p>
        </w:tc>
        <w:tc>
          <w:tcPr>
            <w:tcW w:type="dxa" w:w="4032"/>
            <w:vAlign w:val="center"/>
            <w:shd w:fill="EAF1F8"/>
          </w:tcPr>
          <w:p>
            <w:r>
              <w:rPr>
                <w:b/>
                <w:color w:val="1F4E79"/>
              </w:rPr>
              <w:t>Why</w:t>
            </w:r>
          </w:p>
        </w:tc>
      </w:tr>
      <w:tr>
        <w:tc>
          <w:tcPr>
            <w:tcW w:type="dxa" w:w="3312"/>
            <w:vAlign w:val="center"/>
          </w:tcPr>
          <w:p>
            <w:r>
              <w:t>Class roles and enrolment lifecycle</w:t>
            </w:r>
          </w:p>
        </w:tc>
        <w:tc>
          <w:tcPr>
            <w:tcW w:type="dxa" w:w="3312"/>
            <w:vAlign w:val="center"/>
          </w:tcPr>
          <w:p>
            <w:r>
              <w:t>Domain class family + CORE subjects</w:t>
            </w:r>
          </w:p>
        </w:tc>
        <w:tc>
          <w:tcPr>
            <w:tcW w:type="dxa" w:w="3312"/>
            <w:vAlign w:val="center"/>
          </w:tcPr>
          <w:p>
            <w:r>
              <w:t>Teacher/student/assistant/observer are class-specific but still resolve to core subjects</w:t>
            </w:r>
          </w:p>
        </w:tc>
      </w:tr>
      <w:tr>
        <w:tc>
          <w:tcPr>
            <w:tcW w:type="dxa" w:w="3312"/>
            <w:vAlign w:val="center"/>
          </w:tcPr>
          <w:p>
            <w:r>
              <w:t>Teacher notes, handouts, worksheets, transcripts</w:t>
            </w:r>
          </w:p>
        </w:tc>
        <w:tc>
          <w:tcPr>
            <w:tcW w:type="dxa" w:w="3312"/>
            <w:vAlign w:val="center"/>
          </w:tcPr>
          <w:p>
            <w:r>
              <w:t>km_content</w:t>
            </w:r>
          </w:p>
        </w:tc>
        <w:tc>
          <w:tcPr>
            <w:tcW w:type="dxa" w:w="3312"/>
            <w:vAlign w:val="center"/>
          </w:tcPr>
          <w:p>
            <w:r>
              <w:t>They are authored artifacts with comments, versions, and share rules</w:t>
            </w:r>
          </w:p>
        </w:tc>
      </w:tr>
      <w:tr>
        <w:tc>
          <w:tcPr>
            <w:tcW w:type="dxa" w:w="3312"/>
            <w:vAlign w:val="center"/>
          </w:tcPr>
          <w:p>
            <w:r>
              <w:t>Visibility and grants</w:t>
            </w:r>
          </w:p>
        </w:tc>
        <w:tc>
          <w:tcPr>
            <w:tcW w:type="dxa" w:w="3312"/>
            <w:vAlign w:val="center"/>
          </w:tcPr>
          <w:p>
            <w:r>
              <w:t>km_core</w:t>
            </w:r>
          </w:p>
        </w:tc>
        <w:tc>
          <w:tcPr>
            <w:tcW w:type="dxa" w:w="3312"/>
            <w:vAlign w:val="center"/>
          </w:tcPr>
          <w:p>
            <w:r>
              <w:t>Private/workspace/public logic must stay generic and reusable</w:t>
            </w:r>
          </w:p>
        </w:tc>
      </w:tr>
      <w:tr>
        <w:tc>
          <w:tcPr>
            <w:tcW w:type="dxa" w:w="3312"/>
            <w:vAlign w:val="center"/>
          </w:tcPr>
          <w:p>
            <w:r>
              <w:t>Assignments, due dates, review packets</w:t>
            </w:r>
          </w:p>
        </w:tc>
        <w:tc>
          <w:tcPr>
            <w:tcW w:type="dxa" w:w="3312"/>
            <w:vAlign w:val="center"/>
          </w:tcPr>
          <w:p>
            <w:r>
              <w:t>km_planner</w:t>
            </w:r>
          </w:p>
        </w:tc>
        <w:tc>
          <w:tcPr>
            <w:tcW w:type="dxa" w:w="3312"/>
            <w:vAlign w:val="center"/>
          </w:tcPr>
          <w:p>
            <w:r>
              <w:t>They are operational constructs with deadlines and state transitions</w:t>
            </w:r>
          </w:p>
        </w:tc>
      </w:tr>
    </w:tbl>
    <w:p/>
    <w:p>
      <w:pPr>
        <w:pStyle w:val="SectionHeading"/>
      </w:pPr>
      <w:r>
        <w:t>7. km_planner — operational execution only</w:t>
      </w:r>
    </w:p>
    <w:p>
      <w:r>
        <w:t>km_planner should be strong enough to manage personal plans, team workflows, class assignment packets, review cycles, and publishing checklists, but weak enough in semantic ownership that deleting a planner row never destroys canonical knowledge. Planner is the place for mutable work, not for truth.</w:t>
      </w:r>
    </w:p>
    <w:p>
      <w:r>
        <w:t>The system-side planner should therefore own plans, lanes, packets, dependencies, assignee pivots, review events, and execution metadata. It should not own a second copy of the source document, a second copy of the curriculum unit, or a second copy of the worldview claim. Where performance requires snapshots, they should be clearly marked as convenience caches.</w:t>
      </w:r>
    </w:p>
    <w:p>
      <w:pPr>
        <w:ind w:left="317" w:hanging="259"/>
      </w:pPr>
      <w:r>
        <w:t>• Planner packets may aggregate resources from many modules into one workflow envelope.</w:t>
      </w:r>
    </w:p>
    <w:p>
      <w:pPr>
        <w:ind w:left="317" w:hanging="259"/>
      </w:pPr>
      <w:r>
        <w:t>• Assignment state belongs in planner or class delivery layers, not in canonical document rows.</w:t>
      </w:r>
    </w:p>
    <w:p>
      <w:pPr>
        <w:ind w:left="317" w:hanging="259"/>
      </w:pPr>
      <w:r>
        <w:t>• Review loops, sprint cadence, dependency graphs, and reminders are planner-native concerns.</w:t>
      </w:r>
    </w:p>
    <w:p>
      <w:pPr>
        <w:ind w:left="317" w:hanging="259"/>
      </w:pPr>
      <w:r>
        <w:t>• Operational data should be cheap to regenerate when linked canonical resources change.</w:t>
      </w:r>
    </w:p>
    <w:p>
      <w:pPr>
        <w:pStyle w:val="SubHeading"/>
      </w:pPr>
      <w:r>
        <w:t>Recommended km_planner families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2448"/>
            <w:vAlign w:val="center"/>
            <w:shd w:fill="EAF1F8"/>
          </w:tcPr>
          <w:p>
            <w:r>
              <w:rPr>
                <w:b/>
                <w:color w:val="1F4E79"/>
              </w:rPr>
              <w:t>Family</w:t>
            </w:r>
          </w:p>
        </w:tc>
        <w:tc>
          <w:tcPr>
            <w:tcW w:type="dxa" w:w="2736"/>
            <w:vAlign w:val="center"/>
            <w:shd w:fill="EAF1F8"/>
          </w:tcPr>
          <w:p>
            <w:r>
              <w:rPr>
                <w:b/>
                <w:color w:val="1F4E79"/>
              </w:rPr>
              <w:t>Purpose</w:t>
            </w:r>
          </w:p>
        </w:tc>
        <w:tc>
          <w:tcPr>
            <w:tcW w:type="dxa" w:w="4176"/>
            <w:vAlign w:val="center"/>
            <w:shd w:fill="EAF1F8"/>
          </w:tcPr>
          <w:p>
            <w:r>
              <w:rPr>
                <w:b/>
                <w:color w:val="1F4E79"/>
              </w:rPr>
              <w:t>Typical linked refs</w:t>
            </w:r>
          </w:p>
        </w:tc>
      </w:tr>
      <w:tr>
        <w:tc>
          <w:tcPr>
            <w:tcW w:type="dxa" w:w="3312"/>
            <w:vAlign w:val="center"/>
          </w:tcPr>
          <w:p>
            <w:r>
              <w:t>pl_plans / pl_plan_scopes</w:t>
            </w:r>
          </w:p>
        </w:tc>
        <w:tc>
          <w:tcPr>
            <w:tcW w:type="dxa" w:w="3312"/>
            <w:vAlign w:val="center"/>
          </w:tcPr>
          <w:p>
            <w:r>
              <w:t>Top-level programs and execution shells</w:t>
            </w:r>
          </w:p>
        </w:tc>
        <w:tc>
          <w:tcPr>
            <w:tcW w:type="dxa" w:w="3312"/>
            <w:vAlign w:val="center"/>
          </w:tcPr>
          <w:p>
            <w:r>
              <w:t>Workspace, owner, class, publication, study program</w:t>
            </w:r>
          </w:p>
        </w:tc>
      </w:tr>
      <w:tr>
        <w:tc>
          <w:tcPr>
            <w:tcW w:type="dxa" w:w="3312"/>
            <w:vAlign w:val="center"/>
          </w:tcPr>
          <w:p>
            <w:r>
              <w:t>pl_tasks / pl_task_resources</w:t>
            </w:r>
          </w:p>
        </w:tc>
        <w:tc>
          <w:tcPr>
            <w:tcW w:type="dxa" w:w="3312"/>
            <w:vAlign w:val="center"/>
          </w:tcPr>
          <w:p>
            <w:r>
              <w:t>Actionable work items</w:t>
            </w:r>
          </w:p>
        </w:tc>
        <w:tc>
          <w:tcPr>
            <w:tcW w:type="dxa" w:w="3312"/>
            <w:vAlign w:val="center"/>
          </w:tcPr>
          <w:p>
            <w:r>
              <w:t>CM docs, AR units, QR passages, WV nodes, AL concepts</w:t>
            </w:r>
          </w:p>
        </w:tc>
      </w:tr>
      <w:tr>
        <w:tc>
          <w:tcPr>
            <w:tcW w:type="dxa" w:w="3312"/>
            <w:vAlign w:val="center"/>
          </w:tcPr>
          <w:p>
            <w:r>
              <w:t>pl_lanes / pl_lane_items</w:t>
            </w:r>
          </w:p>
        </w:tc>
        <w:tc>
          <w:tcPr>
            <w:tcW w:type="dxa" w:w="3312"/>
            <w:vAlign w:val="center"/>
          </w:tcPr>
          <w:p>
            <w:r>
              <w:t>Board or queue organization</w:t>
            </w:r>
          </w:p>
        </w:tc>
        <w:tc>
          <w:tcPr>
            <w:tcW w:type="dxa" w:w="3312"/>
            <w:vAlign w:val="center"/>
          </w:tcPr>
          <w:p>
            <w:r>
              <w:t>Task refs plus ordering and state</w:t>
            </w:r>
          </w:p>
        </w:tc>
      </w:tr>
      <w:tr>
        <w:tc>
          <w:tcPr>
            <w:tcW w:type="dxa" w:w="3312"/>
            <w:vAlign w:val="center"/>
          </w:tcPr>
          <w:p>
            <w:r>
              <w:t>pl_review_cycles / pl_review_events</w:t>
            </w:r>
          </w:p>
        </w:tc>
        <w:tc>
          <w:tcPr>
            <w:tcW w:type="dxa" w:w="3312"/>
            <w:vAlign w:val="center"/>
          </w:tcPr>
          <w:p>
            <w:r>
              <w:t>Retrospective and approval loops</w:t>
            </w:r>
          </w:p>
        </w:tc>
        <w:tc>
          <w:tcPr>
            <w:tcW w:type="dxa" w:w="3312"/>
            <w:vAlign w:val="center"/>
          </w:tcPr>
          <w:p>
            <w:r>
              <w:t>Tasks, packets, or publication pipelines</w:t>
            </w:r>
          </w:p>
        </w:tc>
      </w:tr>
      <w:tr>
        <w:tc>
          <w:tcPr>
            <w:tcW w:type="dxa" w:w="3312"/>
            <w:vAlign w:val="center"/>
          </w:tcPr>
          <w:p>
            <w:r>
              <w:t>pl_dependencies / pl_packets</w:t>
            </w:r>
          </w:p>
        </w:tc>
        <w:tc>
          <w:tcPr>
            <w:tcW w:type="dxa" w:w="3312"/>
            <w:vAlign w:val="center"/>
          </w:tcPr>
          <w:p>
            <w:r>
              <w:t>Operational packaging</w:t>
            </w:r>
          </w:p>
        </w:tc>
        <w:tc>
          <w:tcPr>
            <w:tcW w:type="dxa" w:w="3312"/>
            <w:vAlign w:val="center"/>
          </w:tcPr>
          <w:p>
            <w:r>
              <w:t>Prerequisite graphs and grouped task bundles</w:t>
            </w:r>
          </w:p>
        </w:tc>
      </w:tr>
    </w:tbl>
    <w:p/>
    <w:p>
      <w:pPr>
        <w:pStyle w:val="SectionHeading"/>
      </w:pPr>
      <w:r>
        <w:t>8. Typed refs and cross-module contracts</w:t>
      </w:r>
    </w:p>
    <w:p>
      <w:r>
        <w:t>A modular deployment only works when cross-module references use durable typed IDs and application-level validation. The system-side documents should therefore make typed refs explicit and readable. CORE:USR, CORE:WS, CM:DOC, CM:NOTE, QR:SURAH, QR:PASSAGE, AL:ROOT, AL:LEMMA, AR:CUR, AR:CLASS, WV:NODE, and PL:TASK are not cosmetic naming choices; they are the integration contract.</w:t>
      </w:r>
    </w:p>
    <w:p>
      <w:r>
        <w:t>Each system-side family should store its own canonical primary keys internally, but any outward-facing linkage surface should be typed-ref aware. That includes note targets, document targets, class resource links, publication resources, and planner task resources.</w:t>
      </w:r>
    </w:p>
    <w:p>
      <w:pPr>
        <w:ind w:left="317" w:hanging="259"/>
      </w:pPr>
      <w:r>
        <w:t>• Legacy raw IDs should be retired behind core_external_refs and migration maps.</w:t>
      </w:r>
    </w:p>
    <w:p>
      <w:pPr>
        <w:ind w:left="317" w:hanging="259"/>
      </w:pPr>
      <w:r>
        <w:t>• Cross-database joins may still exist in service code, but the database contract should assume modular separation.</w:t>
      </w:r>
    </w:p>
    <w:p>
      <w:pPr>
        <w:ind w:left="317" w:hanging="259"/>
      </w:pPr>
      <w:r>
        <w:t>• Typed refs let public links, planner packets, and collaborative content keep working after extraction.</w:t>
      </w:r>
    </w:p>
    <w:p>
      <w:pPr>
        <w:ind w:left="317" w:hanging="259"/>
      </w:pPr>
      <w:r>
        <w:t>• Service validation must enforce existence and allowed link types before publication or assignment.</w:t>
      </w:r>
    </w:p>
    <w:p>
      <w:pPr>
        <w:pStyle w:val="SubHeading"/>
      </w:pPr>
      <w:r>
        <w:t>Representative typed references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2160"/>
            <w:vAlign w:val="center"/>
            <w:shd w:fill="EAF1F8"/>
          </w:tcPr>
          <w:p>
            <w:r>
              <w:rPr>
                <w:b/>
                <w:color w:val="1F4E79"/>
              </w:rPr>
              <w:t>Ref</w:t>
            </w:r>
          </w:p>
        </w:tc>
        <w:tc>
          <w:tcPr>
            <w:tcW w:type="dxa" w:w="2448"/>
            <w:vAlign w:val="center"/>
            <w:shd w:fill="EAF1F8"/>
          </w:tcPr>
          <w:p>
            <w:r>
              <w:rPr>
                <w:b/>
                <w:color w:val="1F4E79"/>
              </w:rPr>
              <w:t>Meaning</w:t>
            </w:r>
          </w:p>
        </w:tc>
        <w:tc>
          <w:tcPr>
            <w:tcW w:type="dxa" w:w="4896"/>
            <w:vAlign w:val="center"/>
            <w:shd w:fill="EAF1F8"/>
          </w:tcPr>
          <w:p>
            <w:r>
              <w:rPr>
                <w:b/>
                <w:color w:val="1F4E79"/>
              </w:rPr>
              <w:t>Likely system-side usage</w:t>
            </w:r>
          </w:p>
        </w:tc>
      </w:tr>
      <w:tr>
        <w:tc>
          <w:tcPr>
            <w:tcW w:type="dxa" w:w="3312"/>
            <w:vAlign w:val="center"/>
          </w:tcPr>
          <w:p>
            <w:r>
              <w:t>CORE:WS:*</w:t>
            </w:r>
          </w:p>
        </w:tc>
        <w:tc>
          <w:tcPr>
            <w:tcW w:type="dxa" w:w="3312"/>
            <w:vAlign w:val="center"/>
          </w:tcPr>
          <w:p>
            <w:r>
              <w:t>Workspace</w:t>
            </w:r>
          </w:p>
        </w:tc>
        <w:tc>
          <w:tcPr>
            <w:tcW w:type="dxa" w:w="3312"/>
            <w:vAlign w:val="center"/>
          </w:tcPr>
          <w:p>
            <w:r>
              <w:t>Policy resolution, default discovery, owner envelope</w:t>
            </w:r>
          </w:p>
        </w:tc>
      </w:tr>
      <w:tr>
        <w:tc>
          <w:tcPr>
            <w:tcW w:type="dxa" w:w="3312"/>
            <w:vAlign w:val="center"/>
          </w:tcPr>
          <w:p>
            <w:r>
              <w:t>CM:DOC:* / CM:NOTE:*</w:t>
            </w:r>
          </w:p>
        </w:tc>
        <w:tc>
          <w:tcPr>
            <w:tcW w:type="dxa" w:w="3312"/>
            <w:vAlign w:val="center"/>
          </w:tcPr>
          <w:p>
            <w:r>
              <w:t>Document or note</w:t>
            </w:r>
          </w:p>
        </w:tc>
        <w:tc>
          <w:tcPr>
            <w:tcW w:type="dxa" w:w="3312"/>
            <w:vAlign w:val="center"/>
          </w:tcPr>
          <w:p>
            <w:r>
              <w:t>Sharing, publication, comments, class materials</w:t>
            </w:r>
          </w:p>
        </w:tc>
      </w:tr>
      <w:tr>
        <w:tc>
          <w:tcPr>
            <w:tcW w:type="dxa" w:w="3312"/>
            <w:vAlign w:val="center"/>
          </w:tcPr>
          <w:p>
            <w:r>
              <w:t>AR:CLASS:* / AR:CUR:*</w:t>
            </w:r>
          </w:p>
        </w:tc>
        <w:tc>
          <w:tcPr>
            <w:tcW w:type="dxa" w:w="3312"/>
            <w:vAlign w:val="center"/>
          </w:tcPr>
          <w:p>
            <w:r>
              <w:t>Class or curriculum resource</w:t>
            </w:r>
          </w:p>
        </w:tc>
        <w:tc>
          <w:tcPr>
            <w:tcW w:type="dxa" w:w="3312"/>
            <w:vAlign w:val="center"/>
          </w:tcPr>
          <w:p>
            <w:r>
              <w:t>Assignments, enrolments, planner packets</w:t>
            </w:r>
          </w:p>
        </w:tc>
      </w:tr>
      <w:tr>
        <w:tc>
          <w:tcPr>
            <w:tcW w:type="dxa" w:w="3312"/>
            <w:vAlign w:val="center"/>
          </w:tcPr>
          <w:p>
            <w:r>
              <w:t>PL:TASK:*</w:t>
            </w:r>
          </w:p>
        </w:tc>
        <w:tc>
          <w:tcPr>
            <w:tcW w:type="dxa" w:w="3312"/>
            <w:vAlign w:val="center"/>
          </w:tcPr>
          <w:p>
            <w:r>
              <w:t>Operational item</w:t>
            </w:r>
          </w:p>
        </w:tc>
        <w:tc>
          <w:tcPr>
            <w:tcW w:type="dxa" w:w="3312"/>
            <w:vAlign w:val="center"/>
          </w:tcPr>
          <w:p>
            <w:r>
              <w:t>Review, scheduling, completion, dependency graphs</w:t>
            </w:r>
          </w:p>
        </w:tc>
      </w:tr>
    </w:tbl>
    <w:p/>
    <w:p>
      <w:pPr>
        <w:pStyle w:val="SectionHeading"/>
      </w:pPr>
      <w:r>
        <w:t>9. Migration posture for the system side</w:t>
      </w:r>
    </w:p>
    <w:p>
      <w:r>
        <w:t>The migration files make one sequencing point especially clear: create the core policy substrate before migrating policy-driven resources, and move shared content before downstream modules keep depending on legacy document ownership. This means km_core and km_content are not optional late-stage cleanups. They are prerequisites for clean worldview, Arabic, and planner cutovers.</w:t>
      </w:r>
    </w:p>
    <w:p>
      <w:r>
        <w:t>The minimum safe order is: freeze typed refs and policy vocabulary, extract km_core with policy and grant tables, extract km_content with unified documents/notes/sources/media, then cut planner and domain linkages over to the new CM identifiers. Only after owner rows are stable should FTS, public snapshots, planner packets, and other derived objects be rebuilt.</w:t>
      </w:r>
    </w:p>
    <w:p>
      <w:pPr>
        <w:ind w:left="317" w:hanging="259"/>
      </w:pPr>
      <w:r>
        <w:t>• Create core_workspace_policies, core_resource_policies, core_resource_grants, and core_external_refs early.</w:t>
      </w:r>
    </w:p>
    <w:p>
      <w:pPr>
        <w:ind w:left="317" w:hanging="259"/>
      </w:pPr>
      <w:r>
        <w:t>• Backfill legacy document and note identifiers to CM typed refs before worldview or planner cutovers.</w:t>
      </w:r>
    </w:p>
    <w:p>
      <w:pPr>
        <w:ind w:left="317" w:hanging="259"/>
      </w:pPr>
      <w:r>
        <w:t>• Keep domain truth in place while shared artifact families migrate; do not mix those two jobs.</w:t>
      </w:r>
    </w:p>
    <w:p>
      <w:pPr>
        <w:ind w:left="317" w:hanging="259"/>
      </w:pPr>
      <w:r>
        <w:t>• Rebuild caches and publication artifacts after base rows land, not before.</w:t>
      </w:r>
    </w:p>
    <w:p>
      <w:pPr>
        <w:pStyle w:val="SubHeading"/>
      </w:pPr>
      <w:r>
        <w:t>System-side migration priorities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1584"/>
            <w:vAlign w:val="center"/>
            <w:shd w:fill="EAF1F8"/>
          </w:tcPr>
          <w:p>
            <w:r>
              <w:rPr>
                <w:b/>
                <w:color w:val="1F4E79"/>
              </w:rPr>
              <w:t>Phase</w:t>
            </w:r>
          </w:p>
        </w:tc>
        <w:tc>
          <w:tcPr>
            <w:tcW w:type="dxa" w:w="3312"/>
            <w:vAlign w:val="center"/>
            <w:shd w:fill="EAF1F8"/>
          </w:tcPr>
          <w:p>
            <w:r>
              <w:rPr>
                <w:b/>
                <w:color w:val="1F4E79"/>
              </w:rPr>
              <w:t>Primary deliverable</w:t>
            </w:r>
          </w:p>
        </w:tc>
        <w:tc>
          <w:tcPr>
            <w:tcW w:type="dxa" w:w="4608"/>
            <w:vAlign w:val="center"/>
            <w:shd w:fill="EAF1F8"/>
          </w:tcPr>
          <w:p>
            <w:r>
              <w:rPr>
                <w:b/>
                <w:color w:val="1F4E79"/>
              </w:rPr>
              <w:t>Gate</w:t>
            </w:r>
          </w:p>
        </w:tc>
      </w:tr>
      <w:tr>
        <w:tc>
          <w:tcPr>
            <w:tcW w:type="dxa" w:w="3312"/>
            <w:vAlign w:val="center"/>
          </w:tcPr>
          <w:p>
            <w:r>
              <w:t>Phase 2</w:t>
            </w:r>
          </w:p>
        </w:tc>
        <w:tc>
          <w:tcPr>
            <w:tcW w:type="dxa" w:w="3312"/>
            <w:vAlign w:val="center"/>
          </w:tcPr>
          <w:p>
            <w:r>
              <w:t>km_core with policy substrate</w:t>
            </w:r>
          </w:p>
        </w:tc>
        <w:tc>
          <w:tcPr>
            <w:tcW w:type="dxa" w:w="3312"/>
            <w:vAlign w:val="center"/>
          </w:tcPr>
          <w:p>
            <w:r>
              <w:t>Workspace caps and resource policies resolve correctly</w:t>
            </w:r>
          </w:p>
        </w:tc>
      </w:tr>
      <w:tr>
        <w:tc>
          <w:tcPr>
            <w:tcW w:type="dxa" w:w="3312"/>
            <w:vAlign w:val="center"/>
          </w:tcPr>
          <w:p>
            <w:r>
              <w:t>Phase 3</w:t>
            </w:r>
          </w:p>
        </w:tc>
        <w:tc>
          <w:tcPr>
            <w:tcW w:type="dxa" w:w="3312"/>
            <w:vAlign w:val="center"/>
          </w:tcPr>
          <w:p>
            <w:r>
              <w:t>km_content unification</w:t>
            </w:r>
          </w:p>
        </w:tc>
        <w:tc>
          <w:tcPr>
            <w:tcW w:type="dxa" w:w="3312"/>
            <w:vAlign w:val="center"/>
          </w:tcPr>
          <w:p>
            <w:r>
              <w:t>Docs/notes/sources/media share one custody model</w:t>
            </w:r>
          </w:p>
        </w:tc>
      </w:tr>
      <w:tr>
        <w:tc>
          <w:tcPr>
            <w:tcW w:type="dxa" w:w="3312"/>
            <w:vAlign w:val="center"/>
          </w:tcPr>
          <w:p>
            <w:r>
              <w:t>Phase 8</w:t>
            </w:r>
          </w:p>
        </w:tc>
        <w:tc>
          <w:tcPr>
            <w:tcW w:type="dxa" w:w="3312"/>
            <w:vAlign w:val="center"/>
          </w:tcPr>
          <w:p>
            <w:r>
              <w:t>km_planner cutover</w:t>
            </w:r>
          </w:p>
        </w:tc>
        <w:tc>
          <w:tcPr>
            <w:tcW w:type="dxa" w:w="3312"/>
            <w:vAlign w:val="center"/>
          </w:tcPr>
          <w:p>
            <w:r>
              <w:t>Operational tasks reference typed refs instead of legacy doc IDs</w:t>
            </w:r>
          </w:p>
        </w:tc>
      </w:tr>
      <w:tr>
        <w:tc>
          <w:tcPr>
            <w:tcW w:type="dxa" w:w="3312"/>
            <w:vAlign w:val="center"/>
          </w:tcPr>
          <w:p>
            <w:r>
              <w:t>Post-cutover</w:t>
            </w:r>
          </w:p>
        </w:tc>
        <w:tc>
          <w:tcPr>
            <w:tcW w:type="dxa" w:w="3312"/>
            <w:vAlign w:val="center"/>
          </w:tcPr>
          <w:p>
            <w:r>
              <w:t>Derived rebuilds</w:t>
            </w:r>
          </w:p>
        </w:tc>
        <w:tc>
          <w:tcPr>
            <w:tcW w:type="dxa" w:w="3312"/>
            <w:vAlign w:val="center"/>
          </w:tcPr>
          <w:p>
            <w:r>
              <w:t>FTS, publications, snapshots, and packets regenerated cleanly</w:t>
            </w:r>
          </w:p>
        </w:tc>
      </w:tr>
    </w:tbl>
    <w:p/>
    <w:p>
      <w:pPr>
        <w:pStyle w:val="SectionHeading"/>
      </w:pPr>
      <w:r>
        <w:t>10. Final design rules</w:t>
      </w:r>
    </w:p>
    <w:p>
      <w:r>
        <w:t>The system-side architecture should be judged by a simple test: can the same platform safely support a private research note, a workspace draft document, a public published article, a teacher-only class handout, a student-visible assignment resource, and a planner task that references any of them — all without copying truth into the wrong database? If the answer is yes, the system layer is deep enough.</w:t>
      </w:r>
    </w:p>
    <w:p>
      <w:r>
        <w:t>The remaining hard rules are therefore: centralize ACL, centralize authored artifact custody, keep planner operational only, and let typed refs carry the modular contract. Everything else is elaboration around those four principles.</w:t>
      </w:r>
    </w:p>
    <w:p>
      <w:pPr>
        <w:pStyle w:val="Callout"/>
        <w:ind w:left="288" w:right="288"/>
      </w:pPr>
      <w:r>
        <w:t>Architecture acceptance test: a document should be creatable privately, promoted to workspace collaboration, published publicly, attached to a class, commented on by allowed users, and scheduled in a planner packet — without changing its canonical owner or inventing a second sharing engine.</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7"/>
      </w:rPr>
      <w:t xml:space="preserve">K-Maps system layer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5F5F"/>
        <w:sz w:val="17"/>
      </w:rPr>
      <w:t>KM-System Database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spacing w:before="0" w:after="320" w:line="259" w:lineRule="auto"/>
    </w:pPr>
    <w:rPr>
      <w:rFonts w:ascii="Aptos" w:hAnsi="Aptos"/>
      <w:b/>
      <w:color w:val="1F4E79"/>
      <w:sz w:val="48"/>
    </w:rPr>
  </w:style>
  <w:style w:type="paragraph" w:customStyle="1" w:styleId="SubTitleStyle">
    <w:name w:val="SubTitleStyle"/>
    <w:basedOn w:val="Normal"/>
    <w:pPr>
      <w:spacing w:before="0" w:after="240" w:line="259" w:lineRule="auto"/>
    </w:pPr>
    <w:rPr>
      <w:rFonts w:ascii="Aptos" w:hAnsi="Aptos"/>
      <w:b w:val="0"/>
      <w:color w:val="5F5F5F"/>
      <w:sz w:val="23"/>
    </w:rPr>
  </w:style>
  <w:style w:type="paragraph" w:customStyle="1" w:styleId="SectionHeading">
    <w:name w:val="SectionHeading"/>
    <w:basedOn w:val="Normal"/>
    <w:pPr>
      <w:spacing w:before="280" w:after="120" w:line="259" w:lineRule="auto"/>
    </w:pPr>
    <w:rPr>
      <w:rFonts w:ascii="Aptos" w:hAnsi="Aptos"/>
      <w:b/>
      <w:color w:val="1F4E79"/>
      <w:sz w:val="30"/>
    </w:rPr>
  </w:style>
  <w:style w:type="paragraph" w:customStyle="1" w:styleId="SubHeading">
    <w:name w:val="SubHeading"/>
    <w:basedOn w:val="Normal"/>
    <w:pPr>
      <w:spacing w:before="200" w:after="80" w:line="259" w:lineRule="auto"/>
    </w:pPr>
    <w:rPr>
      <w:rFonts w:ascii="Aptos" w:hAnsi="Aptos"/>
      <w:b/>
      <w:color w:val="282828"/>
      <w:sz w:val="25"/>
    </w:rPr>
  </w:style>
  <w:style w:type="paragraph" w:customStyle="1" w:styleId="Callout">
    <w:name w:val="Callout"/>
    <w:basedOn w:val="Normal"/>
    <w:pPr>
      <w:spacing w:before="120" w:after="160" w:line="259" w:lineRule="auto"/>
    </w:pPr>
    <w:rPr>
      <w:rFonts w:ascii="Aptos" w:hAnsi="Aptos"/>
      <w:b w:val="0"/>
      <w:color w:val="282828"/>
      <w:sz w:val="21"/>
    </w:rPr>
  </w:style>
  <w:style w:type="paragraph" w:customStyle="1" w:styleId="SmallMuted">
    <w:name w:val="SmallMuted"/>
    <w:basedOn w:val="Normal"/>
    <w:pPr>
      <w:spacing w:before="0" w:after="100" w:line="259" w:lineRule="auto"/>
    </w:pPr>
    <w:rPr>
      <w:rFonts w:ascii="Aptos" w:hAnsi="Aptos"/>
      <w:b w:val="0"/>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