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jc w:val="center"/>
      </w:pPr>
      <w:r>
        <w:t>KM-System Philosophy and Doctrine</w:t>
      </w:r>
    </w:p>
    <w:p>
      <w:pPr>
        <w:pStyle w:val="SubTitleStyle"/>
        <w:jc w:val="center"/>
      </w:pPr>
      <w:r>
        <w:t>Shared platform doctrine for access, collaboration, content sharing, classes, and operational execution</w:t>
      </w:r>
    </w:p>
    <w:p/>
    <w:tbl>
      <w:tblPr>
        <w:tblW w:type="auto" w:w="0"/>
        <w:jc w:val="center"/>
        <w:tblLayout w:type="fixed"/>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4968"/>
        <w:gridCol w:w="4968"/>
      </w:tblGrid>
      <w:tr>
        <w:tc>
          <w:tcPr>
            <w:tcW w:type="dxa" w:w="2736"/>
            <w:vAlign w:val="center"/>
            <w:shd w:fill="EAF1F8"/>
          </w:tcPr>
          <w:p>
            <w:pPr/>
            <w:r>
              <w:rPr>
                <w:b/>
                <w:color w:val="1F4E79"/>
              </w:rPr>
              <w:t>Scope</w:t>
            </w:r>
          </w:p>
        </w:tc>
        <w:tc>
          <w:tcPr>
            <w:tcW w:type="dxa" w:w="6624"/>
            <w:vAlign w:val="center"/>
          </w:tcPr>
          <w:p>
            <w:pPr/>
            <w:r>
              <w:t>System-side shared platform doctrine: km_core + km_content + km_planner, plus the platform rules that enable private, workspace, and public collaboration.</w:t>
            </w:r>
          </w:p>
        </w:tc>
      </w:tr>
      <w:tr>
        <w:tc>
          <w:tcPr>
            <w:tcW w:type="dxa" w:w="2736"/>
            <w:vAlign w:val="center"/>
            <w:shd w:fill="EAF1F8"/>
          </w:tcPr>
          <w:p>
            <w:pPr/>
            <w:r>
              <w:rPr>
                <w:b/>
                <w:color w:val="1F4E79"/>
              </w:rPr>
              <w:t>Date</w:t>
            </w:r>
          </w:p>
        </w:tc>
        <w:tc>
          <w:tcPr>
            <w:tcW w:type="dxa" w:w="6624"/>
            <w:vAlign w:val="center"/>
          </w:tcPr>
          <w:p>
            <w:pPr/>
            <w:r>
              <w:t>18 April 2026</w:t>
            </w:r>
          </w:p>
        </w:tc>
      </w:tr>
      <w:tr>
        <w:tc>
          <w:tcPr>
            <w:tcW w:type="dxa" w:w="2736"/>
            <w:vAlign w:val="center"/>
            <w:shd w:fill="EAF1F8"/>
          </w:tcPr>
          <w:p>
            <w:pPr/>
            <w:r>
              <w:rPr>
                <w:b/>
                <w:color w:val="1F4E79"/>
              </w:rPr>
              <w:t>Purpose</w:t>
            </w:r>
          </w:p>
        </w:tc>
        <w:tc>
          <w:tcPr>
            <w:tcW w:type="dxa" w:w="6624"/>
            <w:vAlign w:val="center"/>
          </w:tcPr>
          <w:p>
            <w:pPr/>
            <w:r>
              <w:t>Define how access, content, classrooms, enrolments, publishing, and operational tasks work without leaking domain truth into the wrong module.</w:t>
            </w:r>
          </w:p>
        </w:tc>
      </w:tr>
    </w:tbl>
    <w:p/>
    <w:p>
      <w:pPr>
        <w:pStyle w:val="Callout"/>
        <w:ind w:left="288" w:right="288"/>
      </w:pPr>
      <w:r>
        <w:rPr>
          <w:b/>
        </w:rPr>
        <w:t xml:space="preserve">Canonical system doctrine. </w:t>
      </w:r>
      <w:r>
        <w:t>Privacy, publishing, document sharing, classroom delivery, and task execution are platform capabilities. Domain modules declare what may be shared or assigned; the system layer determines how it is shared, published, governed, and operationalized.</w:t>
      </w:r>
    </w:p>
    <w:p>
      <w:r>
        <w:br w:type="page"/>
      </w:r>
    </w:p>
    <w:p>
      <w:pPr>
        <w:pStyle w:val="SectionHeading"/>
      </w:pPr>
      <w:r>
        <w:t>1. What the system layer is</w:t>
      </w:r>
    </w:p>
    <w:p>
      <w:r>
        <w:t>The remaining system-side databases are not residual leftovers after Qur’an, Arabic linguistics, Arabic acquisition, and worldview have been designed. They are the platform substrate that makes those domain modules usable in real life. They govern who can see a resource, who may edit it, how a document becomes public, how a workspace collaborates, how classes and cohorts operate safely, and how work is packaged into tasks and review cycles.</w:t>
      </w:r>
    </w:p>
    <w:p>
      <w:r>
        <w:t>The clean system-side interpretation is: km_core owns identity, workspace, role, policy, grant, and external-reference truth; km_content owns notes, documents, source units, highlights, comments, capture, media, and publications; km_planner owns operational execution such as plans, lanes, assignment packets, dependencies, and review loops. Domain modules should not rebuild those concerns locally just because they need them.</w:t>
      </w:r>
    </w:p>
    <w:p>
      <w:pPr>
        <w:ind w:left="317" w:hanging="259"/>
      </w:pPr>
      <w:r>
        <w:t>• km_core is the authority for identity, tenancy, workspace envelopes, policy subjects, and permissions.</w:t>
      </w:r>
    </w:p>
    <w:p>
      <w:pPr>
        <w:ind w:left="317" w:hanging="259"/>
      </w:pPr>
      <w:r>
        <w:t>• km_content is the shared collaboration and publishing layer for authored artifacts.</w:t>
      </w:r>
    </w:p>
    <w:p>
      <w:pPr>
        <w:ind w:left="317" w:hanging="259"/>
      </w:pPr>
      <w:r>
        <w:t>• km_planner is the execution shell that packages canonical resources into actionable work.</w:t>
      </w:r>
    </w:p>
    <w:p>
      <w:pPr>
        <w:ind w:left="317" w:hanging="259"/>
      </w:pPr>
      <w:r>
        <w:t>• Privacy, sharing, and publication are platform features rather than per-domain inventions.</w:t>
      </w:r>
    </w:p>
    <w:p>
      <w:pPr>
        <w:pStyle w:val="Callout"/>
        <w:ind w:left="288" w:right="288"/>
      </w:pPr>
      <w:r>
        <w:t>If the platform gets privacy, sharing, and publishing wrong, every domain module will start growing its own partial CMS and ACL logic again.</w:t>
      </w:r>
    </w:p>
    <w:p>
      <w:pPr>
        <w:pStyle w:val="SubHeading"/>
      </w:pPr>
      <w:r>
        <w:t>System-side doctrine at a glance</w:t>
      </w:r>
    </w:p>
    <w:tbl>
      <w:tblPr>
        <w:tblW w:type="auto" w:w="0"/>
        <w:jc w:val="center"/>
        <w:tblLayout w:type="fixed"/>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3312"/>
        <w:gridCol w:w="3312"/>
        <w:gridCol w:w="3312"/>
      </w:tblGrid>
      <w:tr>
        <w:trPr>
          <w:tblHeader w:val="true"/>
        </w:trPr>
        <w:tc>
          <w:tcPr>
            <w:tcW w:type="dxa" w:w="1944"/>
            <w:vAlign w:val="center"/>
            <w:shd w:fill="EAF1F8"/>
          </w:tcPr>
          <w:p>
            <w:r>
              <w:rPr>
                <w:b/>
                <w:color w:val="1F4E79"/>
              </w:rPr>
              <w:t>Module</w:t>
            </w:r>
          </w:p>
        </w:tc>
        <w:tc>
          <w:tcPr>
            <w:tcW w:type="dxa" w:w="3744"/>
            <w:vAlign w:val="center"/>
            <w:shd w:fill="EAF1F8"/>
          </w:tcPr>
          <w:p>
            <w:r>
              <w:rPr>
                <w:b/>
                <w:color w:val="1F4E79"/>
              </w:rPr>
              <w:t>What it exists to do</w:t>
            </w:r>
          </w:p>
        </w:tc>
        <w:tc>
          <w:tcPr>
            <w:tcW w:type="dxa" w:w="3672"/>
            <w:vAlign w:val="center"/>
            <w:shd w:fill="EAF1F8"/>
          </w:tcPr>
          <w:p>
            <w:r>
              <w:rPr>
                <w:b/>
                <w:color w:val="1F4E79"/>
              </w:rPr>
              <w:t>What it must never become</w:t>
            </w:r>
          </w:p>
        </w:tc>
      </w:tr>
      <w:tr>
        <w:tc>
          <w:tcPr>
            <w:tcW w:type="dxa" w:w="3312"/>
            <w:vAlign w:val="center"/>
          </w:tcPr>
          <w:p>
            <w:r>
              <w:t>km_core</w:t>
            </w:r>
          </w:p>
        </w:tc>
        <w:tc>
          <w:tcPr>
            <w:tcW w:type="dxa" w:w="3312"/>
            <w:vAlign w:val="center"/>
          </w:tcPr>
          <w:p>
            <w:r>
              <w:t>Identity, workspaces, roles, caps, grants, external refs, audit context</w:t>
            </w:r>
          </w:p>
        </w:tc>
        <w:tc>
          <w:tcPr>
            <w:tcW w:type="dxa" w:w="3312"/>
            <w:vAlign w:val="center"/>
          </w:tcPr>
          <w:p>
            <w:r>
              <w:t>A public content store or a hidden semantic owner</w:t>
            </w:r>
          </w:p>
        </w:tc>
      </w:tr>
      <w:tr>
        <w:tc>
          <w:tcPr>
            <w:tcW w:type="dxa" w:w="3312"/>
            <w:vAlign w:val="center"/>
          </w:tcPr>
          <w:p>
            <w:r>
              <w:t>km_content</w:t>
            </w:r>
          </w:p>
        </w:tc>
        <w:tc>
          <w:tcPr>
            <w:tcW w:type="dxa" w:w="3312"/>
            <w:vAlign w:val="center"/>
          </w:tcPr>
          <w:p>
            <w:r>
              <w:t>Documents, notes, blocks, media, comments, source units, publications, shareable artifacts</w:t>
            </w:r>
          </w:p>
        </w:tc>
        <w:tc>
          <w:tcPr>
            <w:tcW w:type="dxa" w:w="3312"/>
            <w:vAlign w:val="center"/>
          </w:tcPr>
          <w:p>
            <w:r>
              <w:t>A dumping ground for canonical domain truth</w:t>
            </w:r>
          </w:p>
        </w:tc>
      </w:tr>
      <w:tr>
        <w:tc>
          <w:tcPr>
            <w:tcW w:type="dxa" w:w="3312"/>
            <w:vAlign w:val="center"/>
          </w:tcPr>
          <w:p>
            <w:r>
              <w:t>km_planner</w:t>
            </w:r>
          </w:p>
        </w:tc>
        <w:tc>
          <w:tcPr>
            <w:tcW w:type="dxa" w:w="3312"/>
            <w:vAlign w:val="center"/>
          </w:tcPr>
          <w:p>
            <w:r>
              <w:t>Operational plans, queues, tasks, reviews, dependencies, schedules, packets</w:t>
            </w:r>
          </w:p>
        </w:tc>
        <w:tc>
          <w:tcPr>
            <w:tcW w:type="dxa" w:w="3312"/>
            <w:vAlign w:val="center"/>
          </w:tcPr>
          <w:p>
            <w:r>
              <w:t>The real owner of scholarly or curricular truth</w:t>
            </w:r>
          </w:p>
        </w:tc>
      </w:tr>
    </w:tbl>
    <w:p/>
    <w:p>
      <w:pPr>
        <w:pStyle w:val="SectionHeading"/>
      </w:pPr>
      <w:r>
        <w:t>2. Public knowledge vs policy-driven artifacts</w:t>
      </w:r>
    </w:p>
    <w:p>
      <w:r>
        <w:t>The platform needs a hard distinction between public canonical knowledge and policy-driven authored artifacts. Canonical registries and released public reference rows may be globally readable by doctrine, but that does not mean every note, worksheet, lesson draft, transcript, or class resource is public. The platform must therefore keep public-read doctrine separate from visibility and publication controls.</w:t>
      </w:r>
    </w:p>
    <w:p>
      <w:r>
        <w:t>This is the crucial correction repeated across your canonical architecture and migration files: public reference truth lives in domain modules such as QR and AL, while authored and collaborative artifacts live in CM and are governed through CORE policy tables. A document may be public without permitting comments from everyone. A class can be workspace-visible while teacher notes remain private. A public course release can materialize from internal documents without exposing draft authoring state.</w:t>
      </w:r>
    </w:p>
    <w:p>
      <w:pPr>
        <w:ind w:left="317" w:hanging="259"/>
      </w:pPr>
      <w:r>
        <w:t>• visibility_scope answers who can see the resource: private, workspace, link, or public.</w:t>
      </w:r>
    </w:p>
    <w:p>
      <w:pPr>
        <w:ind w:left="317" w:hanging="259"/>
      </w:pPr>
      <w:r>
        <w:t>• publication_state answers release lifecycle: draft, review, published, archived.</w:t>
      </w:r>
    </w:p>
    <w:p>
      <w:pPr>
        <w:ind w:left="317" w:hanging="259"/>
      </w:pPr>
      <w:r>
        <w:t>• discoverability answers whether a resource is hidden, workspace-searchable, or publicly indexed.</w:t>
      </w:r>
    </w:p>
    <w:p>
      <w:pPr>
        <w:ind w:left="317" w:hanging="259"/>
      </w:pPr>
      <w:r>
        <w:t>• access_role answers capability: viewer, commenter, editor, or manager.</w:t>
      </w:r>
    </w:p>
    <w:p>
      <w:pPr>
        <w:pStyle w:val="SubHeading"/>
      </w:pPr>
      <w:r>
        <w:t>Recommended visibility vocabulary</w:t>
      </w:r>
    </w:p>
    <w:tbl>
      <w:tblPr>
        <w:tblW w:type="auto" w:w="0"/>
        <w:jc w:val="center"/>
        <w:tblLayout w:type="fixed"/>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3312"/>
        <w:gridCol w:w="3312"/>
        <w:gridCol w:w="3312"/>
      </w:tblGrid>
      <w:tr>
        <w:trPr>
          <w:tblHeader w:val="true"/>
        </w:trPr>
        <w:tc>
          <w:tcPr>
            <w:tcW w:type="dxa" w:w="2232"/>
            <w:vAlign w:val="center"/>
            <w:shd w:fill="EAF1F8"/>
          </w:tcPr>
          <w:p>
            <w:r>
              <w:rPr>
                <w:b/>
                <w:color w:val="1F4E79"/>
              </w:rPr>
              <w:t>Concept</w:t>
            </w:r>
          </w:p>
        </w:tc>
        <w:tc>
          <w:tcPr>
            <w:tcW w:type="dxa" w:w="3384"/>
            <w:vAlign w:val="center"/>
            <w:shd w:fill="EAF1F8"/>
          </w:tcPr>
          <w:p>
            <w:r>
              <w:rPr>
                <w:b/>
                <w:color w:val="1F4E79"/>
              </w:rPr>
              <w:t>Values</w:t>
            </w:r>
          </w:p>
        </w:tc>
        <w:tc>
          <w:tcPr>
            <w:tcW w:type="dxa" w:w="3744"/>
            <w:vAlign w:val="center"/>
            <w:shd w:fill="EAF1F8"/>
          </w:tcPr>
          <w:p>
            <w:r>
              <w:rPr>
                <w:b/>
                <w:color w:val="1F4E79"/>
              </w:rPr>
              <w:t>Why it exists</w:t>
            </w:r>
          </w:p>
        </w:tc>
      </w:tr>
      <w:tr>
        <w:tc>
          <w:tcPr>
            <w:tcW w:type="dxa" w:w="3312"/>
            <w:vAlign w:val="center"/>
          </w:tcPr>
          <w:p>
            <w:r>
              <w:t>visibility_scope</w:t>
            </w:r>
          </w:p>
        </w:tc>
        <w:tc>
          <w:tcPr>
            <w:tcW w:type="dxa" w:w="3312"/>
            <w:vAlign w:val="center"/>
          </w:tcPr>
          <w:p>
            <w:r>
              <w:t>private | workspace | link | public</w:t>
            </w:r>
          </w:p>
        </w:tc>
        <w:tc>
          <w:tcPr>
            <w:tcW w:type="dxa" w:w="3312"/>
            <w:vAlign w:val="center"/>
          </w:tcPr>
          <w:p>
            <w:r>
              <w:t>Separates audience from workflow state</w:t>
            </w:r>
          </w:p>
        </w:tc>
      </w:tr>
      <w:tr>
        <w:tc>
          <w:tcPr>
            <w:tcW w:type="dxa" w:w="3312"/>
            <w:vAlign w:val="center"/>
          </w:tcPr>
          <w:p>
            <w:r>
              <w:t>publication_state</w:t>
            </w:r>
          </w:p>
        </w:tc>
        <w:tc>
          <w:tcPr>
            <w:tcW w:type="dxa" w:w="3312"/>
            <w:vAlign w:val="center"/>
          </w:tcPr>
          <w:p>
            <w:r>
              <w:t>draft | review | published | archived</w:t>
            </w:r>
          </w:p>
        </w:tc>
        <w:tc>
          <w:tcPr>
            <w:tcW w:type="dxa" w:w="3312"/>
            <w:vAlign w:val="center"/>
          </w:tcPr>
          <w:p>
            <w:r>
              <w:t>Lets a resource be published or unpublished without redefining permissions</w:t>
            </w:r>
          </w:p>
        </w:tc>
      </w:tr>
      <w:tr>
        <w:tc>
          <w:tcPr>
            <w:tcW w:type="dxa" w:w="3312"/>
            <w:vAlign w:val="center"/>
          </w:tcPr>
          <w:p>
            <w:r>
              <w:t>access_role</w:t>
            </w:r>
          </w:p>
        </w:tc>
        <w:tc>
          <w:tcPr>
            <w:tcW w:type="dxa" w:w="3312"/>
            <w:vAlign w:val="center"/>
          </w:tcPr>
          <w:p>
            <w:r>
              <w:t>viewer | commenter | editor | manager</w:t>
            </w:r>
          </w:p>
        </w:tc>
        <w:tc>
          <w:tcPr>
            <w:tcW w:type="dxa" w:w="3312"/>
            <w:vAlign w:val="center"/>
          </w:tcPr>
          <w:p>
            <w:r>
              <w:t>Creates a consistent capability ladder across docs, notes, classes, and packets</w:t>
            </w:r>
          </w:p>
        </w:tc>
      </w:tr>
      <w:tr>
        <w:tc>
          <w:tcPr>
            <w:tcW w:type="dxa" w:w="3312"/>
            <w:vAlign w:val="center"/>
          </w:tcPr>
          <w:p>
            <w:r>
              <w:t>discoverability</w:t>
            </w:r>
          </w:p>
        </w:tc>
        <w:tc>
          <w:tcPr>
            <w:tcW w:type="dxa" w:w="3312"/>
            <w:vAlign w:val="center"/>
          </w:tcPr>
          <w:p>
            <w:r>
              <w:t>hidden | workspace_searchable | public_indexed</w:t>
            </w:r>
          </w:p>
        </w:tc>
        <w:tc>
          <w:tcPr>
            <w:tcW w:type="dxa" w:w="3312"/>
            <w:vAlign w:val="center"/>
          </w:tcPr>
          <w:p>
            <w:r>
              <w:t>Controls indexing/search posture separately from raw access</w:t>
            </w:r>
          </w:p>
        </w:tc>
      </w:tr>
    </w:tbl>
    <w:p/>
    <w:p>
      <w:pPr>
        <w:pStyle w:val="SectionHeading"/>
      </w:pPr>
      <w:r>
        <w:t>3. Workspace collaboration doctrine</w:t>
      </w:r>
    </w:p>
    <w:p>
      <w:r>
        <w:t>Workspaces are not just folders. They are collaboration envelopes with their own default policies, role ladders, and sharing caps. The system layer should allow personal workspaces, study groups, teams, family contexts, and organizations to coexist without creating a different sharing engine for each. That requires workspace policy defaults and explicit item overrides.</w:t>
      </w:r>
    </w:p>
    <w:p>
      <w:r>
        <w:t>The correct inheritance chain is: workspace default policy → collection or container default → item override → explicit grants. This allows a workspace to cap public sharing, a notebook to default to workspace-only visibility, and a specific document to remain private or become public with a narrower or broader grant model.</w:t>
      </w:r>
    </w:p>
    <w:p>
      <w:pPr>
        <w:ind w:left="317" w:hanging="259"/>
      </w:pPr>
      <w:r>
        <w:t>• Workspace roles govern collaboration context and administrative rights.</w:t>
      </w:r>
    </w:p>
    <w:p>
      <w:pPr>
        <w:ind w:left="317" w:hanging="259"/>
      </w:pPr>
      <w:r>
        <w:t>• Resource policies govern a specific shareable item.</w:t>
      </w:r>
    </w:p>
    <w:p>
      <w:pPr>
        <w:ind w:left="317" w:hanging="259"/>
      </w:pPr>
      <w:r>
        <w:t>• Explicit grants allow exceptions without mutating the entire workspace policy.</w:t>
      </w:r>
    </w:p>
    <w:p>
      <w:pPr>
        <w:ind w:left="317" w:hanging="259"/>
      </w:pPr>
      <w:r>
        <w:t>• Link sharing should be treated as a deliberate policy mode, not a hack.</w:t>
      </w:r>
    </w:p>
    <w:p>
      <w:pPr>
        <w:pStyle w:val="SectionHeading"/>
      </w:pPr>
      <w:r>
        <w:t>4. Document, note, and source philosophy</w:t>
      </w:r>
    </w:p>
    <w:p>
      <w:r>
        <w:t>The system should have one disciplined answer to authored content. Notes, documents, blocks, comments, highlights, source units, transcripts, media annotations, and public snapshots all belong to the same collaboration substrate. They should not be buried in worldview, Arabic, or planner tables just because that was where the first feature appeared.</w:t>
      </w:r>
    </w:p>
    <w:p>
      <w:r>
        <w:t>This means a note is not a domain-special object by default. A note is a content artifact that may target one or more domain scopes through typed references. A document can be a study note, worksheet, article, class handout, lesson page, essay, or research memo. The difference belongs in metadata and target links, not in a new storage engine for every module.</w:t>
      </w:r>
    </w:p>
    <w:p>
      <w:pPr>
        <w:ind w:left="317" w:hanging="259"/>
      </w:pPr>
      <w:r>
        <w:t>• One document engine gives one version model, one block model, one comment model, and one share model.</w:t>
      </w:r>
    </w:p>
    <w:p>
      <w:pPr>
        <w:ind w:left="317" w:hanging="259"/>
      </w:pPr>
      <w:r>
        <w:t>• One source engine lets transcripts, textual sources, and media-linked source units be reused across modules.</w:t>
      </w:r>
    </w:p>
    <w:p>
      <w:pPr>
        <w:ind w:left="317" w:hanging="259"/>
      </w:pPr>
      <w:r>
        <w:t>• Publication should materialize stable public snapshots without exposing ongoing internal edits.</w:t>
      </w:r>
    </w:p>
    <w:p>
      <w:pPr>
        <w:ind w:left="317" w:hanging="259"/>
      </w:pPr>
      <w:r>
        <w:t>• Private and workspace artifacts should remain shareable without becoming public by accident.</w:t>
      </w:r>
    </w:p>
    <w:p>
      <w:pPr>
        <w:pStyle w:val="SubHeading"/>
      </w:pPr>
      <w:r>
        <w:t>Authored artifact doctrine</w:t>
      </w:r>
    </w:p>
    <w:tbl>
      <w:tblPr>
        <w:tblW w:type="auto" w:w="0"/>
        <w:jc w:val="center"/>
        <w:tblLayout w:type="fixed"/>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3312"/>
        <w:gridCol w:w="3312"/>
        <w:gridCol w:w="3312"/>
      </w:tblGrid>
      <w:tr>
        <w:trPr>
          <w:tblHeader w:val="true"/>
        </w:trPr>
        <w:tc>
          <w:tcPr>
            <w:tcW w:type="dxa" w:w="2304"/>
            <w:vAlign w:val="center"/>
            <w:shd w:fill="EAF1F8"/>
          </w:tcPr>
          <w:p>
            <w:r>
              <w:rPr>
                <w:b/>
                <w:color w:val="1F4E79"/>
              </w:rPr>
              <w:t>Artifact type</w:t>
            </w:r>
          </w:p>
        </w:tc>
        <w:tc>
          <w:tcPr>
            <w:tcW w:type="dxa" w:w="2160"/>
            <w:vAlign w:val="center"/>
            <w:shd w:fill="EAF1F8"/>
          </w:tcPr>
          <w:p>
            <w:r>
              <w:rPr>
                <w:b/>
                <w:color w:val="1F4E79"/>
              </w:rPr>
              <w:t>Owner module</w:t>
            </w:r>
          </w:p>
        </w:tc>
        <w:tc>
          <w:tcPr>
            <w:tcW w:type="dxa" w:w="4896"/>
            <w:vAlign w:val="center"/>
            <w:shd w:fill="EAF1F8"/>
          </w:tcPr>
          <w:p>
            <w:r>
              <w:rPr>
                <w:b/>
                <w:color w:val="1F4E79"/>
              </w:rPr>
              <w:t>Typical domain linkage</w:t>
            </w:r>
          </w:p>
        </w:tc>
      </w:tr>
      <w:tr>
        <w:tc>
          <w:tcPr>
            <w:tcW w:type="dxa" w:w="3312"/>
            <w:vAlign w:val="center"/>
          </w:tcPr>
          <w:p>
            <w:r>
              <w:t>Documents and pages</w:t>
            </w:r>
          </w:p>
        </w:tc>
        <w:tc>
          <w:tcPr>
            <w:tcW w:type="dxa" w:w="3312"/>
            <w:vAlign w:val="center"/>
          </w:tcPr>
          <w:p>
            <w:r>
              <w:t>km_content</w:t>
            </w:r>
          </w:p>
        </w:tc>
        <w:tc>
          <w:tcPr>
            <w:tcW w:type="dxa" w:w="3312"/>
            <w:vAlign w:val="center"/>
          </w:tcPr>
          <w:p>
            <w:r>
              <w:t>Linked outward to QR, AL, AR, WV, or PL through typed refs</w:t>
            </w:r>
          </w:p>
        </w:tc>
      </w:tr>
      <w:tr>
        <w:tc>
          <w:tcPr>
            <w:tcW w:type="dxa" w:w="3312"/>
            <w:vAlign w:val="center"/>
          </w:tcPr>
          <w:p>
            <w:r>
              <w:t>Notes and captures</w:t>
            </w:r>
          </w:p>
        </w:tc>
        <w:tc>
          <w:tcPr>
            <w:tcW w:type="dxa" w:w="3312"/>
            <w:vAlign w:val="center"/>
          </w:tcPr>
          <w:p>
            <w:r>
              <w:t>km_content</w:t>
            </w:r>
          </w:p>
        </w:tc>
        <w:tc>
          <w:tcPr>
            <w:tcW w:type="dxa" w:w="3312"/>
            <w:vAlign w:val="center"/>
          </w:tcPr>
          <w:p>
            <w:r>
              <w:t>Private/workspace/public according to policy row and grants</w:t>
            </w:r>
          </w:p>
        </w:tc>
      </w:tr>
      <w:tr>
        <w:tc>
          <w:tcPr>
            <w:tcW w:type="dxa" w:w="3312"/>
            <w:vAlign w:val="center"/>
          </w:tcPr>
          <w:p>
            <w:r>
              <w:t>Media assets and transcripts</w:t>
            </w:r>
          </w:p>
        </w:tc>
        <w:tc>
          <w:tcPr>
            <w:tcW w:type="dxa" w:w="3312"/>
            <w:vAlign w:val="center"/>
          </w:tcPr>
          <w:p>
            <w:r>
              <w:t>km_content</w:t>
            </w:r>
          </w:p>
        </w:tc>
        <w:tc>
          <w:tcPr>
            <w:tcW w:type="dxa" w:w="3312"/>
            <w:vAlign w:val="center"/>
          </w:tcPr>
          <w:p>
            <w:r>
              <w:t>Reused by Arabic learning, Qur’an study, worldview work, and planner packets</w:t>
            </w:r>
          </w:p>
        </w:tc>
      </w:tr>
      <w:tr>
        <w:tc>
          <w:tcPr>
            <w:tcW w:type="dxa" w:w="3312"/>
            <w:vAlign w:val="center"/>
          </w:tcPr>
          <w:p>
            <w:r>
              <w:t>Public snapshots</w:t>
            </w:r>
          </w:p>
        </w:tc>
        <w:tc>
          <w:tcPr>
            <w:tcW w:type="dxa" w:w="3312"/>
            <w:vAlign w:val="center"/>
          </w:tcPr>
          <w:p>
            <w:r>
              <w:t>km_content</w:t>
            </w:r>
          </w:p>
        </w:tc>
        <w:tc>
          <w:tcPr>
            <w:tcW w:type="dxa" w:w="3312"/>
            <w:vAlign w:val="center"/>
          </w:tcPr>
          <w:p>
            <w:r>
              <w:t>Stable published surfaces materialized from internal authored state</w:t>
            </w:r>
          </w:p>
        </w:tc>
      </w:tr>
    </w:tbl>
    <w:p/>
    <w:p>
      <w:pPr>
        <w:pStyle w:val="SectionHeading"/>
      </w:pPr>
      <w:r>
        <w:t>5. Classroom, cohort, and enrolment philosophy</w:t>
      </w:r>
    </w:p>
    <w:p>
      <w:r>
        <w:t>The system layer should support classroom creation and cohort delivery without forcing classes to become disguised workspaces or planner boards. The domain module that owns a course or class shell may differ by product area, but the platform capabilities it relies on are still system-side: identity, workspace context, visibility policies, content attachments, comments, publication, due-date tasks, and audit trails.</w:t>
      </w:r>
    </w:p>
    <w:p>
      <w:r>
        <w:t>A class should be able to assign content, track enrolments, attach shared resources, carry teacher-only notes, expose selected materials to enrolled learners, and coordinate deadlines and review workflows. The class-role model should stay distinct from document roles and workspace roles. Instructor, assistant, student, observer, and guardian are class-scoped delivery roles rather than replacements for general workspace permissions.</w:t>
      </w:r>
    </w:p>
    <w:p>
      <w:pPr>
        <w:ind w:left="317" w:hanging="259"/>
      </w:pPr>
      <w:r>
        <w:t>• Classes need resource policies and grants, just like documents.</w:t>
      </w:r>
    </w:p>
    <w:p>
      <w:pPr>
        <w:ind w:left="317" w:hanging="259"/>
      </w:pPr>
      <w:r>
        <w:t>• Enrolments need lifecycle states such as invited, active, paused, completed, removed.</w:t>
      </w:r>
    </w:p>
    <w:p>
      <w:pPr>
        <w:ind w:left="317" w:hanging="259"/>
      </w:pPr>
      <w:r>
        <w:t>• Assignments need links to content artifacts and canonical domain scopes without taking ownership of either.</w:t>
      </w:r>
    </w:p>
    <w:p>
      <w:pPr>
        <w:ind w:left="317" w:hanging="259"/>
      </w:pPr>
      <w:r>
        <w:t>• Teacher review and return flows should operate on top of shared comments, publications, and planner packets.</w:t>
      </w:r>
    </w:p>
    <w:p>
      <w:pPr>
        <w:pStyle w:val="Callout"/>
        <w:ind w:left="288" w:right="288"/>
      </w:pPr>
      <w:r>
        <w:t>System principle: classroom delivery is a product pattern that consumes CORE + CM + domain resources. It should not force a second ACL model or a second document engine.</w:t>
      </w:r>
    </w:p>
    <w:p>
      <w:pPr>
        <w:pStyle w:val="SectionHeading"/>
      </w:pPr>
      <w:r>
        <w:t>6. Task, management, and execution philosophy</w:t>
      </w:r>
    </w:p>
    <w:p>
      <w:r>
        <w:t>The planner side of the system exists to operationalize work, not to become the canonical storage layer for what the work is about. Management tasks, review queues, sprint boards, classroom assignment packets, and publishing checklists should all live in km_planner because they are mutable execution constructs. Their linked resources should continue to live in the appropriate owner module.</w:t>
      </w:r>
    </w:p>
    <w:p>
      <w:r>
        <w:t>This means a planner task may point to a document in CM, a surah passage in QR, a lemma in AL, an Arabic class resource in AR, or a worldview comparison node in WV. The moment planner starts duplicating the canonical content of those resources, the platform falls back into monolith behavior.</w:t>
      </w:r>
    </w:p>
    <w:p>
      <w:pPr>
        <w:ind w:left="317" w:hanging="259"/>
      </w:pPr>
      <w:r>
        <w:t>• Tasks are envelopes around work, not the source of truth behind the work.</w:t>
      </w:r>
    </w:p>
    <w:p>
      <w:pPr>
        <w:ind w:left="317" w:hanging="259"/>
      </w:pPr>
      <w:r>
        <w:t>• Planner packets should store typed refs plus convenience snapshots only when operationally necessary.</w:t>
      </w:r>
    </w:p>
    <w:p>
      <w:pPr>
        <w:ind w:left="317" w:hanging="259"/>
      </w:pPr>
      <w:r>
        <w:t>• Assignment queues and sprint boards may orchestrate domain resources from many modules at once.</w:t>
      </w:r>
    </w:p>
    <w:p>
      <w:pPr>
        <w:ind w:left="317" w:hanging="259"/>
      </w:pPr>
      <w:r>
        <w:t>• Operational state should be reversible, revisable, and safely deletable without harming canonical domain rows.</w:t>
      </w:r>
    </w:p>
    <w:p>
      <w:pPr>
        <w:pStyle w:val="SubHeading"/>
      </w:pPr>
      <w:r>
        <w:t>Execution doctrine</w:t>
      </w:r>
    </w:p>
    <w:tbl>
      <w:tblPr>
        <w:tblW w:type="auto" w:w="0"/>
        <w:jc w:val="center"/>
        <w:tblLayout w:type="fixed"/>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3312"/>
        <w:gridCol w:w="3312"/>
        <w:gridCol w:w="3312"/>
      </w:tblGrid>
      <w:tr>
        <w:trPr>
          <w:tblHeader w:val="true"/>
        </w:trPr>
        <w:tc>
          <w:tcPr>
            <w:tcW w:type="dxa" w:w="2232"/>
            <w:vAlign w:val="center"/>
            <w:shd w:fill="EAF1F8"/>
          </w:tcPr>
          <w:p>
            <w:r>
              <w:rPr>
                <w:b/>
                <w:color w:val="1F4E79"/>
              </w:rPr>
              <w:t>System concern</w:t>
            </w:r>
          </w:p>
        </w:tc>
        <w:tc>
          <w:tcPr>
            <w:tcW w:type="dxa" w:w="2232"/>
            <w:vAlign w:val="center"/>
            <w:shd w:fill="EAF1F8"/>
          </w:tcPr>
          <w:p>
            <w:r>
              <w:rPr>
                <w:b/>
                <w:color w:val="1F4E79"/>
              </w:rPr>
              <w:t>Canonical owner</w:t>
            </w:r>
          </w:p>
        </w:tc>
        <w:tc>
          <w:tcPr>
            <w:tcW w:type="dxa" w:w="4896"/>
            <w:vAlign w:val="center"/>
            <w:shd w:fill="EAF1F8"/>
          </w:tcPr>
          <w:p>
            <w:r>
              <w:rPr>
                <w:b/>
                <w:color w:val="1F4E79"/>
              </w:rPr>
              <w:t>Operational expression</w:t>
            </w:r>
          </w:p>
        </w:tc>
      </w:tr>
      <w:tr>
        <w:tc>
          <w:tcPr>
            <w:tcW w:type="dxa" w:w="3312"/>
            <w:vAlign w:val="center"/>
          </w:tcPr>
          <w:p>
            <w:r>
              <w:t>Task definition</w:t>
            </w:r>
          </w:p>
        </w:tc>
        <w:tc>
          <w:tcPr>
            <w:tcW w:type="dxa" w:w="3312"/>
            <w:vAlign w:val="center"/>
          </w:tcPr>
          <w:p>
            <w:r>
              <w:t>km_planner</w:t>
            </w:r>
          </w:p>
        </w:tc>
        <w:tc>
          <w:tcPr>
            <w:tcW w:type="dxa" w:w="3312"/>
            <w:vAlign w:val="center"/>
          </w:tcPr>
          <w:p>
            <w:r>
              <w:t>Task rows, packets, lanes, dependencies, schedules</w:t>
            </w:r>
          </w:p>
        </w:tc>
      </w:tr>
      <w:tr>
        <w:tc>
          <w:tcPr>
            <w:tcW w:type="dxa" w:w="3312"/>
            <w:vAlign w:val="center"/>
          </w:tcPr>
          <w:p>
            <w:r>
              <w:t>Attached document</w:t>
            </w:r>
          </w:p>
        </w:tc>
        <w:tc>
          <w:tcPr>
            <w:tcW w:type="dxa" w:w="3312"/>
            <w:vAlign w:val="center"/>
          </w:tcPr>
          <w:p>
            <w:r>
              <w:t>km_content</w:t>
            </w:r>
          </w:p>
        </w:tc>
        <w:tc>
          <w:tcPr>
            <w:tcW w:type="dxa" w:w="3312"/>
            <w:vAlign w:val="center"/>
          </w:tcPr>
          <w:p>
            <w:r>
              <w:t>Planner link to CM:DOC:* with optional snapshot text</w:t>
            </w:r>
          </w:p>
        </w:tc>
      </w:tr>
      <w:tr>
        <w:tc>
          <w:tcPr>
            <w:tcW w:type="dxa" w:w="3312"/>
            <w:vAlign w:val="center"/>
          </w:tcPr>
          <w:p>
            <w:r>
              <w:t>Canonical study target</w:t>
            </w:r>
          </w:p>
        </w:tc>
        <w:tc>
          <w:tcPr>
            <w:tcW w:type="dxa" w:w="3312"/>
            <w:vAlign w:val="center"/>
          </w:tcPr>
          <w:p>
            <w:r>
              <w:t>Domain owner</w:t>
            </w:r>
          </w:p>
        </w:tc>
        <w:tc>
          <w:tcPr>
            <w:tcW w:type="dxa" w:w="3312"/>
            <w:vAlign w:val="center"/>
          </w:tcPr>
          <w:p>
            <w:r>
              <w:t>Typed ref to QR/AL/AR/WV row</w:t>
            </w:r>
          </w:p>
        </w:tc>
      </w:tr>
      <w:tr>
        <w:tc>
          <w:tcPr>
            <w:tcW w:type="dxa" w:w="3312"/>
            <w:vAlign w:val="center"/>
          </w:tcPr>
          <w:p>
            <w:r>
              <w:t>Identity and access</w:t>
            </w:r>
          </w:p>
        </w:tc>
        <w:tc>
          <w:tcPr>
            <w:tcW w:type="dxa" w:w="3312"/>
            <w:vAlign w:val="center"/>
          </w:tcPr>
          <w:p>
            <w:r>
              <w:t>km_core</w:t>
            </w:r>
          </w:p>
        </w:tc>
        <w:tc>
          <w:tcPr>
            <w:tcW w:type="dxa" w:w="3312"/>
            <w:vAlign w:val="center"/>
          </w:tcPr>
          <w:p>
            <w:r>
              <w:t>Workspace, role, and grant resolution at action time</w:t>
            </w:r>
          </w:p>
        </w:tc>
      </w:tr>
    </w:tbl>
    <w:p/>
    <w:p>
      <w:pPr>
        <w:pStyle w:val="SectionHeading"/>
      </w:pPr>
      <w:r>
        <w:t>7. Typed references and boundary discipline</w:t>
      </w:r>
    </w:p>
    <w:p>
      <w:r>
        <w:t>Once the platform is split into distinct databases, raw cross-database foreign keys cannot carry the design. Durable typed references become the contract layer: CORE:..., CM:..., QR:..., AL:..., AR:..., WV:..., and PL:.... Service validation resolves them before write, publish, or assignment operations are accepted.</w:t>
      </w:r>
    </w:p>
    <w:p>
      <w:r>
        <w:t>Typed refs do two jobs at once. They preserve modularity by avoiding false foreign-key assumptions across databases, and they make documents, classes, assignments, and tasks readable across the system because every resource speaks the same addressing language. This is what lets a shared note point to a Qur’an passage, a class assignment point to an Arabic curriculum unit, and a planner task point to a public document without collapsing the architecture.</w:t>
      </w:r>
    </w:p>
    <w:p>
      <w:pPr>
        <w:ind w:left="317" w:hanging="259"/>
      </w:pPr>
      <w:r>
        <w:t>• Typed refs must be stable, durable, and version-safe enough for long-lived links.</w:t>
      </w:r>
    </w:p>
    <w:p>
      <w:pPr>
        <w:ind w:left="317" w:hanging="259"/>
      </w:pPr>
      <w:r>
        <w:t>• Legacy IDs should be mapped through core_external_refs or migration maps rather than leaked permanently into the new contract surface.</w:t>
      </w:r>
    </w:p>
    <w:p>
      <w:pPr>
        <w:ind w:left="317" w:hanging="259"/>
      </w:pPr>
      <w:r>
        <w:t>• Search indexes and public publications should resolve typed refs back to canonical owners at read time or publication time.</w:t>
      </w:r>
    </w:p>
    <w:p>
      <w:pPr>
        <w:ind w:left="317" w:hanging="259"/>
      </w:pPr>
      <w:r>
        <w:t>• Boundary discipline is an architectural feature, not just a migration convenience.</w:t>
      </w:r>
    </w:p>
    <w:p>
      <w:pPr>
        <w:pStyle w:val="SectionHeading"/>
      </w:pPr>
      <w:r>
        <w:t>8. Final system doctrine</w:t>
      </w:r>
    </w:p>
    <w:p>
      <w:r>
        <w:t>The remaining system-side databases are the platform’s civic infrastructure. They decide how knowledge, notes, classes, assignments, and tasks are governed, shared, published, and operationalized. They must be deeper than a login table and a document bucket, because the platform you are designing needs personal drafting, workspace collaboration, controlled external sharing, public publishing, teaching workflows, and task orchestration to coexist cleanly.</w:t>
      </w:r>
    </w:p>
    <w:p>
      <w:r>
        <w:t>The final rule is simple but demanding: domain modules own truth; the system layer owns collaboration, policy, content custody, publication, and execution. When that line holds, the platform can grow. When it breaks, each domain slowly rebuilds its own private copy of the system and the architecture collapses back into hidden monolith form.</w:t>
      </w:r>
    </w:p>
    <w:p>
      <w:pPr>
        <w:pStyle w:val="Callout"/>
        <w:ind w:left="288" w:right="288"/>
      </w:pPr>
      <w:r>
        <w:t>Shipping test: a resource should be able to move from private draft → workspace collaboration → controlled external review → public publication → planner packet → class assignment without changing who canonically owns the underlying truth.</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5F5F"/>
        <w:sz w:val="17"/>
      </w:rPr>
      <w:t xml:space="preserve">K-Maps system layer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F5F5F"/>
        <w:sz w:val="17"/>
      </w:rPr>
      <w:t>KM-System Philosophy and Doctrine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basedOn w:val="Normal"/>
    <w:pPr>
      <w:spacing w:before="0" w:after="320" w:line="259" w:lineRule="auto"/>
    </w:pPr>
    <w:rPr>
      <w:rFonts w:ascii="Aptos" w:hAnsi="Aptos"/>
      <w:b/>
      <w:color w:val="1F4E79"/>
      <w:sz w:val="48"/>
    </w:rPr>
  </w:style>
  <w:style w:type="paragraph" w:customStyle="1" w:styleId="SubTitleStyle">
    <w:name w:val="SubTitleStyle"/>
    <w:basedOn w:val="Normal"/>
    <w:pPr>
      <w:spacing w:before="0" w:after="240" w:line="259" w:lineRule="auto"/>
    </w:pPr>
    <w:rPr>
      <w:rFonts w:ascii="Aptos" w:hAnsi="Aptos"/>
      <w:b w:val="0"/>
      <w:color w:val="5F5F5F"/>
      <w:sz w:val="23"/>
    </w:rPr>
  </w:style>
  <w:style w:type="paragraph" w:customStyle="1" w:styleId="SectionHeading">
    <w:name w:val="SectionHeading"/>
    <w:basedOn w:val="Normal"/>
    <w:pPr>
      <w:spacing w:before="280" w:after="120" w:line="259" w:lineRule="auto"/>
    </w:pPr>
    <w:rPr>
      <w:rFonts w:ascii="Aptos" w:hAnsi="Aptos"/>
      <w:b/>
      <w:color w:val="1F4E79"/>
      <w:sz w:val="30"/>
    </w:rPr>
  </w:style>
  <w:style w:type="paragraph" w:customStyle="1" w:styleId="SubHeading">
    <w:name w:val="SubHeading"/>
    <w:basedOn w:val="Normal"/>
    <w:pPr>
      <w:spacing w:before="200" w:after="80" w:line="259" w:lineRule="auto"/>
    </w:pPr>
    <w:rPr>
      <w:rFonts w:ascii="Aptos" w:hAnsi="Aptos"/>
      <w:b/>
      <w:color w:val="282828"/>
      <w:sz w:val="25"/>
    </w:rPr>
  </w:style>
  <w:style w:type="paragraph" w:customStyle="1" w:styleId="Callout">
    <w:name w:val="Callout"/>
    <w:basedOn w:val="Normal"/>
    <w:pPr>
      <w:spacing w:before="120" w:after="160" w:line="259" w:lineRule="auto"/>
    </w:pPr>
    <w:rPr>
      <w:rFonts w:ascii="Aptos" w:hAnsi="Aptos"/>
      <w:b w:val="0"/>
      <w:color w:val="282828"/>
      <w:sz w:val="21"/>
    </w:rPr>
  </w:style>
  <w:style w:type="paragraph" w:customStyle="1" w:styleId="SmallMuted">
    <w:name w:val="SmallMuted"/>
    <w:basedOn w:val="Normal"/>
    <w:pPr>
      <w:spacing w:before="0" w:after="100" w:line="259" w:lineRule="auto"/>
    </w:pPr>
    <w:rPr>
      <w:rFonts w:ascii="Aptos" w:hAnsi="Aptos"/>
      <w:b w:val="0"/>
      <w:color w:val="5F5F5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